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DB4AC" w14:textId="0ABB8905" w:rsidR="009D6289" w:rsidRDefault="009D6289" w:rsidP="0099163E">
      <w:pPr>
        <w:shd w:val="clear" w:color="auto" w:fill="FFFFFF"/>
        <w:spacing w:before="225" w:after="225" w:line="408" w:lineRule="atLeast"/>
        <w:rPr>
          <w:rFonts w:ascii="Source Sans Pro" w:eastAsia="Times New Roman" w:hAnsi="Source Sans Pro" w:cs="Times New Roman"/>
          <w:color w:val="222222"/>
          <w:sz w:val="32"/>
          <w:szCs w:val="32"/>
        </w:rPr>
      </w:pPr>
      <w:r w:rsidRPr="002332AE">
        <w:rPr>
          <w:rFonts w:ascii="Times" w:eastAsia="Times New Roman" w:hAnsi="Times" w:cs="Times New Roman"/>
          <w:b/>
          <w:bCs/>
          <w:noProof/>
          <w:kern w:val="36"/>
          <w:sz w:val="28"/>
          <w:szCs w:val="28"/>
        </w:rPr>
        <w:drawing>
          <wp:anchor distT="0" distB="0" distL="114300" distR="114300" simplePos="0" relativeHeight="251659264" behindDoc="0" locked="0" layoutInCell="1" allowOverlap="1" wp14:anchorId="0C0AE616" wp14:editId="39E6783F">
            <wp:simplePos x="0" y="0"/>
            <wp:positionH relativeFrom="column">
              <wp:posOffset>5019040</wp:posOffset>
            </wp:positionH>
            <wp:positionV relativeFrom="paragraph">
              <wp:posOffset>-497038</wp:posOffset>
            </wp:positionV>
            <wp:extent cx="1021660" cy="1412240"/>
            <wp:effectExtent l="0" t="0" r="0" b="0"/>
            <wp:wrapNone/>
            <wp:docPr id="14" name="Picture 14"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danir:Desktop:Screen Shot 2018-04-09 at 12.26.33 PM.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1660" cy="14122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Source Sans Pro" w:eastAsia="Times New Roman" w:hAnsi="Source Sans Pro" w:cs="Times New Roman"/>
          <w:color w:val="222222"/>
          <w:sz w:val="32"/>
          <w:szCs w:val="32"/>
        </w:rPr>
        <w:t>Beyond the Essay, III</w:t>
      </w:r>
    </w:p>
    <w:p w14:paraId="408D3E95" w14:textId="74374DE7" w:rsidR="009D6289" w:rsidRDefault="009D6289" w:rsidP="0099163E">
      <w:pPr>
        <w:shd w:val="clear" w:color="auto" w:fill="FFFFFF"/>
        <w:spacing w:before="225" w:after="225" w:line="408" w:lineRule="atLeast"/>
        <w:rPr>
          <w:rFonts w:ascii="Source Sans Pro" w:eastAsia="Times New Roman" w:hAnsi="Source Sans Pro" w:cs="Times New Roman"/>
          <w:color w:val="222222"/>
          <w:sz w:val="32"/>
          <w:szCs w:val="32"/>
        </w:rPr>
      </w:pPr>
      <w:r>
        <w:rPr>
          <w:rFonts w:ascii="Source Sans Pro" w:eastAsia="Times New Roman" w:hAnsi="Source Sans Pro" w:cs="Times New Roman"/>
          <w:color w:val="222222"/>
          <w:sz w:val="32"/>
          <w:szCs w:val="32"/>
        </w:rPr>
        <w:t xml:space="preserve">by Nancy Chick </w:t>
      </w:r>
    </w:p>
    <w:p w14:paraId="42671538" w14:textId="00B50828" w:rsidR="009D6289" w:rsidRDefault="009D6289" w:rsidP="009D6289">
      <w:pPr>
        <w:pBdr>
          <w:top w:val="single" w:sz="6" w:space="11" w:color="D8AB4C"/>
          <w:left w:val="single" w:sz="6" w:space="11" w:color="D8AB4C"/>
          <w:bottom w:val="single" w:sz="6" w:space="11" w:color="D8AB4C"/>
          <w:right w:val="single" w:sz="48" w:space="11" w:color="D8AB4C"/>
        </w:pBdr>
        <w:shd w:val="clear" w:color="auto" w:fill="FFFFFF"/>
        <w:spacing w:before="450" w:after="450"/>
        <w:outlineLvl w:val="1"/>
        <w:rPr>
          <w:rFonts w:ascii="Source Sans Pro" w:eastAsia="Times New Roman" w:hAnsi="Source Sans Pro" w:cs="Times New Roman"/>
          <w:color w:val="222222"/>
          <w:sz w:val="32"/>
          <w:szCs w:val="32"/>
        </w:rPr>
      </w:pPr>
      <w:r w:rsidRPr="0099163E">
        <w:rPr>
          <w:rFonts w:ascii="Source Sans Pro" w:eastAsia="Times New Roman" w:hAnsi="Source Sans Pro" w:cs="Times New Roman"/>
          <w:color w:val="222222"/>
          <w:sz w:val="32"/>
          <w:szCs w:val="32"/>
        </w:rPr>
        <w:t>Summative Assignments: Authentic Alternatives to the Essay</w:t>
      </w:r>
    </w:p>
    <w:p w14:paraId="5FCCD58F" w14:textId="03D8F5E3" w:rsidR="0099163E" w:rsidRPr="0099163E" w:rsidRDefault="0099163E" w:rsidP="0099163E">
      <w:pPr>
        <w:shd w:val="clear" w:color="auto" w:fill="FFFFFF"/>
        <w:spacing w:before="225" w:after="225" w:line="408" w:lineRule="atLeast"/>
        <w:rPr>
          <w:rFonts w:ascii="Roboto" w:eastAsia="Times New Roman" w:hAnsi="Roboto" w:cs="Times New Roman"/>
          <w:color w:val="222222"/>
        </w:rPr>
      </w:pPr>
      <w:r w:rsidRPr="0099163E">
        <w:rPr>
          <w:rFonts w:ascii="Roboto" w:eastAsia="Times New Roman" w:hAnsi="Roboto" w:cs="Times New Roman"/>
          <w:color w:val="222222"/>
        </w:rPr>
        <w:t>The essay is often the go-to assignment in humanities courses, and rightfully so. Especially in the text-based disciplines, the craft of the essay is highly valued as part of practicing the work of the field. More broadly, developing effective writing skills is a universal learning objective in higher education and, to varying degrees, is often dependent on these humanities classes. </w:t>
      </w:r>
      <w:bookmarkStart w:id="0" w:name="maps"/>
      <w:bookmarkEnd w:id="0"/>
      <w:r w:rsidRPr="0099163E">
        <w:rPr>
          <w:rFonts w:ascii="Roboto" w:eastAsia="Times New Roman" w:hAnsi="Roboto" w:cs="Times New Roman"/>
          <w:color w:val="222222"/>
        </w:rPr>
        <w:t>There are, however, alternative assignments in which students can rigorously but creatively perform their understandings in summative projects to be rigorously </w:t>
      </w:r>
      <w:r w:rsidRPr="0099163E">
        <w:rPr>
          <w:rFonts w:ascii="Roboto" w:eastAsia="Times New Roman" w:hAnsi="Roboto" w:cs="Times New Roman"/>
          <w:color w:val="000000"/>
        </w:rPr>
        <w:t>assessed, while still practicing–and even calling attention to–the habits of mind of the discipline.</w:t>
      </w:r>
      <w:r w:rsidRPr="0099163E">
        <w:rPr>
          <w:rFonts w:ascii="Roboto" w:eastAsia="Times New Roman" w:hAnsi="Roboto" w:cs="Times New Roman"/>
          <w:color w:val="000000"/>
        </w:rPr>
        <w:br/>
      </w:r>
    </w:p>
    <w:p w14:paraId="5029C45C" w14:textId="77777777" w:rsidR="0099163E" w:rsidRPr="0099163E" w:rsidRDefault="0099163E" w:rsidP="0099163E">
      <w:pPr>
        <w:pBdr>
          <w:top w:val="single" w:sz="6" w:space="11" w:color="D8AB4C"/>
          <w:left w:val="single" w:sz="6" w:space="11" w:color="D8AB4C"/>
          <w:bottom w:val="single" w:sz="6" w:space="11" w:color="D8AB4C"/>
          <w:right w:val="single" w:sz="48" w:space="11" w:color="D8AB4C"/>
        </w:pBdr>
        <w:shd w:val="clear" w:color="auto" w:fill="FFFFFF"/>
        <w:spacing w:before="450" w:after="450"/>
        <w:outlineLvl w:val="1"/>
        <w:rPr>
          <w:rFonts w:ascii="Source Sans Pro" w:eastAsia="Times New Roman" w:hAnsi="Source Sans Pro" w:cs="Times New Roman"/>
          <w:color w:val="222222"/>
          <w:sz w:val="36"/>
          <w:szCs w:val="36"/>
        </w:rPr>
      </w:pPr>
      <w:r w:rsidRPr="0099163E">
        <w:rPr>
          <w:rFonts w:ascii="Source Sans Pro" w:eastAsia="Times New Roman" w:hAnsi="Source Sans Pro" w:cs="Times New Roman"/>
          <w:b/>
          <w:bCs/>
          <w:i/>
          <w:iCs/>
          <w:color w:val="222222"/>
          <w:sz w:val="36"/>
          <w:szCs w:val="36"/>
        </w:rPr>
        <w:t>Metaphor Maps</w:t>
      </w:r>
    </w:p>
    <w:p w14:paraId="6D5EEF76" w14:textId="77777777" w:rsidR="0099163E" w:rsidRPr="0099163E" w:rsidRDefault="0099163E" w:rsidP="0099163E">
      <w:pPr>
        <w:shd w:val="clear" w:color="auto" w:fill="FAFAFA"/>
        <w:spacing w:before="225" w:line="408" w:lineRule="atLeast"/>
        <w:rPr>
          <w:rFonts w:ascii="Roboto" w:eastAsia="Times New Roman" w:hAnsi="Roboto" w:cs="Times New Roman"/>
          <w:color w:val="006682"/>
        </w:rPr>
      </w:pPr>
      <w:r w:rsidRPr="0099163E">
        <w:rPr>
          <w:rFonts w:ascii="Roboto" w:eastAsia="Times New Roman" w:hAnsi="Roboto" w:cs="Times New Roman"/>
          <w:i/>
          <w:iCs/>
          <w:color w:val="006682"/>
        </w:rPr>
        <w:t>Students synthesize and unify multiple themes or concepts through metaphors, and then explicate their own thinking</w:t>
      </w:r>
    </w:p>
    <w:p w14:paraId="6E156D3D" w14:textId="2C8A023E" w:rsidR="0099163E" w:rsidRPr="0099163E" w:rsidRDefault="0099163E" w:rsidP="0099163E">
      <w:pPr>
        <w:rPr>
          <w:rFonts w:ascii="Times New Roman" w:eastAsia="Times New Roman" w:hAnsi="Times New Roman" w:cs="Times New Roman"/>
        </w:rPr>
      </w:pPr>
      <w:r w:rsidRPr="0099163E">
        <w:rPr>
          <w:rFonts w:ascii="Times New Roman" w:eastAsia="Times New Roman" w:hAnsi="Times New Roman" w:cs="Times New Roman"/>
          <w:noProof/>
          <w:color w:val="006682"/>
        </w:rPr>
        <w:drawing>
          <wp:inline distT="0" distB="0" distL="0" distR="0" wp14:anchorId="0F357857" wp14:editId="297FF295">
            <wp:extent cx="2763520" cy="2082800"/>
            <wp:effectExtent l="0" t="0" r="5080" b="0"/>
            <wp:docPr id="11" name="Picture 11">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3520" cy="2082800"/>
                    </a:xfrm>
                    <a:prstGeom prst="rect">
                      <a:avLst/>
                    </a:prstGeom>
                    <a:noFill/>
                    <a:ln>
                      <a:noFill/>
                    </a:ln>
                  </pic:spPr>
                </pic:pic>
              </a:graphicData>
            </a:graphic>
          </wp:inline>
        </w:drawing>
      </w:r>
      <w:r w:rsidRPr="0099163E">
        <w:rPr>
          <w:rFonts w:ascii="Times New Roman" w:eastAsia="Times New Roman" w:hAnsi="Times New Roman" w:cs="Times New Roman"/>
        </w:rPr>
        <w:t>Metaphor Map Instructions (Click to enlarge.)</w:t>
      </w:r>
    </w:p>
    <w:p w14:paraId="470CA23D" w14:textId="77777777" w:rsidR="0099163E" w:rsidRPr="0099163E" w:rsidRDefault="0099163E" w:rsidP="0099163E">
      <w:pPr>
        <w:shd w:val="clear" w:color="auto" w:fill="FFFFFF"/>
        <w:spacing w:before="225" w:after="225" w:line="408" w:lineRule="atLeast"/>
        <w:rPr>
          <w:rFonts w:ascii="Roboto" w:eastAsia="Times New Roman" w:hAnsi="Roboto" w:cs="Times New Roman"/>
          <w:color w:val="222222"/>
        </w:rPr>
      </w:pPr>
      <w:r w:rsidRPr="0099163E">
        <w:rPr>
          <w:rFonts w:ascii="Roboto" w:eastAsia="Times New Roman" w:hAnsi="Roboto" w:cs="Times New Roman"/>
          <w:color w:val="222222"/>
        </w:rPr>
        <w:lastRenderedPageBreak/>
        <w:t>This assignment encourages students to practice and perform a variety of ways of thinking:</w:t>
      </w:r>
    </w:p>
    <w:p w14:paraId="4AB8D959" w14:textId="77777777" w:rsidR="0099163E" w:rsidRPr="0099163E" w:rsidRDefault="0099163E" w:rsidP="0099163E">
      <w:pPr>
        <w:numPr>
          <w:ilvl w:val="0"/>
          <w:numId w:val="1"/>
        </w:numPr>
        <w:shd w:val="clear" w:color="auto" w:fill="FFFFFF"/>
        <w:spacing w:before="100" w:beforeAutospacing="1" w:after="100" w:afterAutospacing="1" w:line="408" w:lineRule="atLeast"/>
        <w:rPr>
          <w:rFonts w:ascii="Roboto" w:eastAsia="Times New Roman" w:hAnsi="Roboto" w:cs="Times New Roman"/>
          <w:color w:val="222222"/>
        </w:rPr>
      </w:pPr>
      <w:r w:rsidRPr="0099163E">
        <w:rPr>
          <w:rFonts w:ascii="Roboto" w:eastAsia="Times New Roman" w:hAnsi="Roboto" w:cs="Times New Roman"/>
          <w:color w:val="222222"/>
        </w:rPr>
        <w:t>think creatively about a text, concept, or unit (or several) by thinking metaphorically,</w:t>
      </w:r>
    </w:p>
    <w:p w14:paraId="30770758" w14:textId="77777777" w:rsidR="0099163E" w:rsidRPr="0099163E" w:rsidRDefault="0099163E" w:rsidP="0099163E">
      <w:pPr>
        <w:numPr>
          <w:ilvl w:val="0"/>
          <w:numId w:val="1"/>
        </w:numPr>
        <w:shd w:val="clear" w:color="auto" w:fill="FFFFFF"/>
        <w:spacing w:before="100" w:beforeAutospacing="1" w:after="100" w:afterAutospacing="1" w:line="408" w:lineRule="atLeast"/>
        <w:rPr>
          <w:rFonts w:ascii="Roboto" w:eastAsia="Times New Roman" w:hAnsi="Roboto" w:cs="Times New Roman"/>
          <w:color w:val="222222"/>
        </w:rPr>
      </w:pPr>
      <w:r w:rsidRPr="0099163E">
        <w:rPr>
          <w:rFonts w:ascii="Roboto" w:eastAsia="Times New Roman" w:hAnsi="Roboto" w:cs="Times New Roman"/>
          <w:color w:val="222222"/>
        </w:rPr>
        <w:t>synthesize varied pieces of a complex concept or text, and</w:t>
      </w:r>
    </w:p>
    <w:p w14:paraId="616196E7" w14:textId="77777777" w:rsidR="0099163E" w:rsidRPr="0099163E" w:rsidRDefault="0099163E" w:rsidP="0099163E">
      <w:pPr>
        <w:numPr>
          <w:ilvl w:val="0"/>
          <w:numId w:val="1"/>
        </w:numPr>
        <w:shd w:val="clear" w:color="auto" w:fill="FFFFFF"/>
        <w:spacing w:before="100" w:beforeAutospacing="1" w:after="100" w:afterAutospacing="1" w:line="408" w:lineRule="atLeast"/>
        <w:rPr>
          <w:rFonts w:ascii="Roboto" w:eastAsia="Times New Roman" w:hAnsi="Roboto" w:cs="Times New Roman"/>
          <w:color w:val="222222"/>
        </w:rPr>
      </w:pPr>
      <w:r w:rsidRPr="0099163E">
        <w:rPr>
          <w:rFonts w:ascii="Roboto" w:eastAsia="Times New Roman" w:hAnsi="Roboto" w:cs="Times New Roman"/>
          <w:color w:val="222222"/>
        </w:rPr>
        <w:t>articulate their thinking in new and self-authored ways.</w:t>
      </w:r>
    </w:p>
    <w:p w14:paraId="77E7173F" w14:textId="77777777" w:rsidR="0099163E" w:rsidRPr="0099163E" w:rsidRDefault="0099163E" w:rsidP="0099163E">
      <w:pPr>
        <w:shd w:val="clear" w:color="auto" w:fill="FFFFFF"/>
        <w:spacing w:before="225" w:after="225" w:line="408" w:lineRule="atLeast"/>
        <w:rPr>
          <w:rFonts w:ascii="Roboto" w:eastAsia="Times New Roman" w:hAnsi="Roboto" w:cs="Times New Roman"/>
          <w:color w:val="222222"/>
        </w:rPr>
      </w:pPr>
      <w:r w:rsidRPr="0099163E">
        <w:rPr>
          <w:rFonts w:ascii="Roboto" w:eastAsia="Times New Roman" w:hAnsi="Roboto" w:cs="Times New Roman"/>
          <w:color w:val="222222"/>
        </w:rPr>
        <w:t>It involves two parts:  first, students draw an image of a single metaphor they use to make sense of a concept, text, or unit (or several), and then–more importantly–they explicate their drawing. Sample instructions are in the box to the right.</w:t>
      </w:r>
    </w:p>
    <w:p w14:paraId="7773CB56" w14:textId="77777777" w:rsidR="0099163E" w:rsidRPr="0099163E" w:rsidRDefault="0099163E" w:rsidP="0099163E">
      <w:pPr>
        <w:shd w:val="clear" w:color="auto" w:fill="FFFFFF"/>
        <w:spacing w:before="225" w:after="225" w:line="408" w:lineRule="atLeast"/>
        <w:rPr>
          <w:rFonts w:ascii="Roboto" w:eastAsia="Times New Roman" w:hAnsi="Roboto" w:cs="Times New Roman"/>
          <w:color w:val="222222"/>
        </w:rPr>
      </w:pPr>
      <w:r w:rsidRPr="0099163E">
        <w:rPr>
          <w:rFonts w:ascii="Roboto" w:eastAsia="Times New Roman" w:hAnsi="Roboto" w:cs="Times New Roman"/>
          <w:color w:val="222222"/>
        </w:rPr>
        <w:t>Ultimately, metaphor maps are less about the drawing and more about how students synthesize and unify complex, multidimensional thinking around a single metaphor–and how clearly and effectively they explain these ideas. This strategy stretches them beyond the typical modes of learning and challenges them to organize their thoughts in a new way.</w:t>
      </w:r>
    </w:p>
    <w:p w14:paraId="304CA166" w14:textId="5D25B21B" w:rsidR="0099163E" w:rsidRPr="0099163E" w:rsidRDefault="0099163E" w:rsidP="0099163E">
      <w:pPr>
        <w:rPr>
          <w:rFonts w:ascii="Times New Roman" w:eastAsia="Times New Roman" w:hAnsi="Times New Roman" w:cs="Times New Roman"/>
        </w:rPr>
      </w:pPr>
      <w:r w:rsidRPr="0099163E">
        <w:rPr>
          <w:rFonts w:ascii="Times New Roman" w:eastAsia="Times New Roman" w:hAnsi="Times New Roman" w:cs="Times New Roman"/>
          <w:noProof/>
          <w:color w:val="006682"/>
        </w:rPr>
        <w:drawing>
          <wp:inline distT="0" distB="0" distL="0" distR="0" wp14:anchorId="11565CBA" wp14:editId="6BEC23C8">
            <wp:extent cx="2824480" cy="2113280"/>
            <wp:effectExtent l="0" t="0" r="0" b="0"/>
            <wp:docPr id="10" name="Picture 10">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4480" cy="2113280"/>
                    </a:xfrm>
                    <a:prstGeom prst="rect">
                      <a:avLst/>
                    </a:prstGeom>
                    <a:noFill/>
                    <a:ln>
                      <a:noFill/>
                    </a:ln>
                  </pic:spPr>
                </pic:pic>
              </a:graphicData>
            </a:graphic>
          </wp:inline>
        </w:drawing>
      </w:r>
      <w:r w:rsidRPr="0099163E">
        <w:rPr>
          <w:rFonts w:ascii="Times New Roman" w:eastAsia="Times New Roman" w:hAnsi="Times New Roman" w:cs="Times New Roman"/>
        </w:rPr>
        <w:t>Assessing Metaphor Maps (Click to enlarge.)</w:t>
      </w:r>
    </w:p>
    <w:p w14:paraId="06D882FA" w14:textId="77777777" w:rsidR="0099163E" w:rsidRPr="0099163E" w:rsidRDefault="0099163E" w:rsidP="0099163E">
      <w:pPr>
        <w:shd w:val="clear" w:color="auto" w:fill="FFFFFF"/>
        <w:spacing w:before="225" w:after="225" w:line="408" w:lineRule="atLeast"/>
        <w:rPr>
          <w:rFonts w:ascii="Roboto" w:eastAsia="Times New Roman" w:hAnsi="Roboto" w:cs="Times New Roman"/>
          <w:color w:val="222222"/>
        </w:rPr>
      </w:pPr>
      <w:r w:rsidRPr="0099163E">
        <w:rPr>
          <w:rFonts w:ascii="Roboto" w:eastAsia="Times New Roman" w:hAnsi="Roboto" w:cs="Times New Roman"/>
          <w:color w:val="222222"/>
        </w:rPr>
        <w:t>Some suggested criteria for assessing metaphor maps include the following:</w:t>
      </w:r>
    </w:p>
    <w:p w14:paraId="3B2557C9" w14:textId="77777777" w:rsidR="0099163E" w:rsidRPr="0099163E" w:rsidRDefault="0099163E" w:rsidP="0099163E">
      <w:pPr>
        <w:numPr>
          <w:ilvl w:val="0"/>
          <w:numId w:val="2"/>
        </w:numPr>
        <w:shd w:val="clear" w:color="auto" w:fill="FFFFFF"/>
        <w:spacing w:before="100" w:beforeAutospacing="1" w:after="100" w:afterAutospacing="1" w:line="408" w:lineRule="atLeast"/>
        <w:rPr>
          <w:rFonts w:ascii="Roboto" w:eastAsia="Times New Roman" w:hAnsi="Roboto" w:cs="Times New Roman"/>
          <w:color w:val="222222"/>
        </w:rPr>
      </w:pPr>
      <w:r w:rsidRPr="0099163E">
        <w:rPr>
          <w:rFonts w:ascii="Roboto" w:eastAsia="Times New Roman" w:hAnsi="Roboto" w:cs="Times New Roman"/>
          <w:color w:val="222222"/>
        </w:rPr>
        <w:t>Clarity</w:t>
      </w:r>
    </w:p>
    <w:p w14:paraId="22A57EE1" w14:textId="77777777" w:rsidR="0099163E" w:rsidRPr="0099163E" w:rsidRDefault="0099163E" w:rsidP="0099163E">
      <w:pPr>
        <w:numPr>
          <w:ilvl w:val="0"/>
          <w:numId w:val="2"/>
        </w:numPr>
        <w:shd w:val="clear" w:color="auto" w:fill="FFFFFF"/>
        <w:spacing w:before="100" w:beforeAutospacing="1" w:after="100" w:afterAutospacing="1" w:line="408" w:lineRule="atLeast"/>
        <w:rPr>
          <w:rFonts w:ascii="Roboto" w:eastAsia="Times New Roman" w:hAnsi="Roboto" w:cs="Times New Roman"/>
          <w:color w:val="222222"/>
        </w:rPr>
      </w:pPr>
      <w:r w:rsidRPr="0099163E">
        <w:rPr>
          <w:rFonts w:ascii="Roboto" w:eastAsia="Times New Roman" w:hAnsi="Roboto" w:cs="Times New Roman"/>
          <w:color w:val="222222"/>
        </w:rPr>
        <w:t>Accuracy</w:t>
      </w:r>
    </w:p>
    <w:p w14:paraId="420154CE" w14:textId="77777777" w:rsidR="0099163E" w:rsidRPr="0099163E" w:rsidRDefault="0099163E" w:rsidP="0099163E">
      <w:pPr>
        <w:numPr>
          <w:ilvl w:val="0"/>
          <w:numId w:val="2"/>
        </w:numPr>
        <w:shd w:val="clear" w:color="auto" w:fill="FFFFFF"/>
        <w:spacing w:before="100" w:beforeAutospacing="1" w:after="100" w:afterAutospacing="1" w:line="408" w:lineRule="atLeast"/>
        <w:rPr>
          <w:rFonts w:ascii="Roboto" w:eastAsia="Times New Roman" w:hAnsi="Roboto" w:cs="Times New Roman"/>
          <w:color w:val="222222"/>
        </w:rPr>
      </w:pPr>
      <w:r w:rsidRPr="0099163E">
        <w:rPr>
          <w:rFonts w:ascii="Roboto" w:eastAsia="Times New Roman" w:hAnsi="Roboto" w:cs="Times New Roman"/>
          <w:color w:val="222222"/>
        </w:rPr>
        <w:t>Complexity</w:t>
      </w:r>
    </w:p>
    <w:p w14:paraId="481F3F39" w14:textId="77777777" w:rsidR="0099163E" w:rsidRPr="0099163E" w:rsidRDefault="0099163E" w:rsidP="0099163E">
      <w:pPr>
        <w:numPr>
          <w:ilvl w:val="0"/>
          <w:numId w:val="2"/>
        </w:numPr>
        <w:shd w:val="clear" w:color="auto" w:fill="FFFFFF"/>
        <w:spacing w:before="100" w:beforeAutospacing="1" w:after="100" w:afterAutospacing="1" w:line="408" w:lineRule="atLeast"/>
        <w:rPr>
          <w:rFonts w:ascii="Roboto" w:eastAsia="Times New Roman" w:hAnsi="Roboto" w:cs="Times New Roman"/>
          <w:color w:val="222222"/>
        </w:rPr>
      </w:pPr>
      <w:r w:rsidRPr="0099163E">
        <w:rPr>
          <w:rFonts w:ascii="Roboto" w:eastAsia="Times New Roman" w:hAnsi="Roboto" w:cs="Times New Roman"/>
          <w:color w:val="222222"/>
        </w:rPr>
        <w:t>Comprehensiveness</w:t>
      </w:r>
    </w:p>
    <w:p w14:paraId="71C9461F" w14:textId="77777777" w:rsidR="0099163E" w:rsidRPr="0099163E" w:rsidRDefault="0099163E" w:rsidP="0099163E">
      <w:pPr>
        <w:numPr>
          <w:ilvl w:val="0"/>
          <w:numId w:val="2"/>
        </w:numPr>
        <w:shd w:val="clear" w:color="auto" w:fill="FFFFFF"/>
        <w:spacing w:before="100" w:beforeAutospacing="1" w:after="100" w:afterAutospacing="1" w:line="408" w:lineRule="atLeast"/>
        <w:rPr>
          <w:rFonts w:ascii="Roboto" w:eastAsia="Times New Roman" w:hAnsi="Roboto" w:cs="Times New Roman"/>
          <w:color w:val="222222"/>
        </w:rPr>
      </w:pPr>
      <w:r w:rsidRPr="0099163E">
        <w:rPr>
          <w:rFonts w:ascii="Roboto" w:eastAsia="Times New Roman" w:hAnsi="Roboto" w:cs="Times New Roman"/>
          <w:color w:val="222222"/>
        </w:rPr>
        <w:lastRenderedPageBreak/>
        <w:t>Unity &amp; Synthesis</w:t>
      </w:r>
    </w:p>
    <w:p w14:paraId="5193F9FD" w14:textId="77777777" w:rsidR="0099163E" w:rsidRPr="0099163E" w:rsidRDefault="0099163E" w:rsidP="0099163E">
      <w:pPr>
        <w:shd w:val="clear" w:color="auto" w:fill="FFFFFF"/>
        <w:spacing w:before="225" w:after="225" w:line="408" w:lineRule="atLeast"/>
        <w:rPr>
          <w:rFonts w:ascii="Roboto" w:eastAsia="Times New Roman" w:hAnsi="Roboto" w:cs="Times New Roman"/>
          <w:color w:val="222222"/>
        </w:rPr>
      </w:pPr>
      <w:r w:rsidRPr="0099163E">
        <w:rPr>
          <w:rFonts w:ascii="Roboto" w:eastAsia="Times New Roman" w:hAnsi="Roboto" w:cs="Times New Roman"/>
          <w:color w:val="222222"/>
        </w:rPr>
        <w:t>Each is further developed in the box to the right.</w:t>
      </w:r>
    </w:p>
    <w:p w14:paraId="34EA39F3" w14:textId="77777777" w:rsidR="0099163E" w:rsidRPr="0099163E" w:rsidRDefault="005D58E1" w:rsidP="0099163E">
      <w:pPr>
        <w:spacing w:before="300" w:after="300"/>
        <w:rPr>
          <w:rFonts w:ascii="Times New Roman" w:eastAsia="Times New Roman" w:hAnsi="Times New Roman" w:cs="Times New Roman"/>
        </w:rPr>
      </w:pPr>
      <w:r>
        <w:rPr>
          <w:rFonts w:ascii="Times New Roman" w:eastAsia="Times New Roman" w:hAnsi="Times New Roman" w:cs="Times New Roman"/>
          <w:noProof/>
        </w:rPr>
        <w:pict w14:anchorId="39300B1C">
          <v:rect id="_x0000_i1026" alt="" style="width:468pt;height:.05pt;mso-width-percent:0;mso-height-percent:0;mso-width-percent:0;mso-height-percent:0" o:hralign="center" o:hrstd="t" o:hrnoshade="t" o:hr="t" fillcolor="#222" stroked="f"/>
        </w:pict>
      </w:r>
    </w:p>
    <w:p w14:paraId="18BDED5B" w14:textId="77777777" w:rsidR="0099163E" w:rsidRPr="0099163E" w:rsidRDefault="0099163E" w:rsidP="0099163E">
      <w:pPr>
        <w:shd w:val="clear" w:color="auto" w:fill="FFFFFF"/>
        <w:spacing w:before="225" w:after="225" w:line="408" w:lineRule="atLeast"/>
        <w:rPr>
          <w:rFonts w:ascii="Roboto" w:eastAsia="Times New Roman" w:hAnsi="Roboto" w:cs="Times New Roman"/>
          <w:color w:val="222222"/>
        </w:rPr>
      </w:pPr>
      <w:r w:rsidRPr="0099163E">
        <w:rPr>
          <w:rFonts w:ascii="Roboto" w:eastAsia="Times New Roman" w:hAnsi="Roboto" w:cs="Times New Roman"/>
          <w:b/>
          <w:bCs/>
          <w:i/>
          <w:iCs/>
          <w:color w:val="222222"/>
        </w:rPr>
        <w:t>Examples</w:t>
      </w:r>
    </w:p>
    <w:p w14:paraId="494779E0" w14:textId="37AAA3CE" w:rsidR="0099163E" w:rsidRPr="0099163E" w:rsidRDefault="0099163E" w:rsidP="0099163E">
      <w:pPr>
        <w:rPr>
          <w:rFonts w:ascii="Times New Roman" w:eastAsia="Times New Roman" w:hAnsi="Times New Roman" w:cs="Times New Roman"/>
        </w:rPr>
      </w:pPr>
      <w:r w:rsidRPr="0099163E">
        <w:rPr>
          <w:rFonts w:ascii="Times New Roman" w:eastAsia="Times New Roman" w:hAnsi="Times New Roman" w:cs="Times New Roman"/>
          <w:noProof/>
          <w:color w:val="006682"/>
        </w:rPr>
        <w:drawing>
          <wp:inline distT="0" distB="0" distL="0" distR="0" wp14:anchorId="03270C37" wp14:editId="0CD738CC">
            <wp:extent cx="1727200" cy="1270000"/>
            <wp:effectExtent l="0" t="0" r="0" b="0"/>
            <wp:docPr id="9" name="Picture 9">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7200" cy="1270000"/>
                    </a:xfrm>
                    <a:prstGeom prst="rect">
                      <a:avLst/>
                    </a:prstGeom>
                    <a:noFill/>
                    <a:ln>
                      <a:noFill/>
                    </a:ln>
                  </pic:spPr>
                </pic:pic>
              </a:graphicData>
            </a:graphic>
          </wp:inline>
        </w:drawing>
      </w:r>
      <w:r w:rsidRPr="0099163E">
        <w:rPr>
          <w:rFonts w:ascii="Times New Roman" w:eastAsia="Times New Roman" w:hAnsi="Times New Roman" w:cs="Times New Roman"/>
        </w:rPr>
        <w:t>Camera as Metaphor for Learning Process (Click to enlarge.)</w:t>
      </w:r>
    </w:p>
    <w:p w14:paraId="561B5A98" w14:textId="77777777" w:rsidR="0099163E" w:rsidRPr="0099163E" w:rsidRDefault="0099163E" w:rsidP="0099163E">
      <w:pPr>
        <w:numPr>
          <w:ilvl w:val="0"/>
          <w:numId w:val="3"/>
        </w:numPr>
        <w:shd w:val="clear" w:color="auto" w:fill="FFFFFF"/>
        <w:spacing w:before="100" w:beforeAutospacing="1" w:after="100" w:afterAutospacing="1" w:line="408" w:lineRule="atLeast"/>
        <w:rPr>
          <w:rFonts w:ascii="Roboto" w:eastAsia="Times New Roman" w:hAnsi="Roboto" w:cs="Times New Roman"/>
          <w:color w:val="222222"/>
        </w:rPr>
      </w:pPr>
      <w:r w:rsidRPr="0099163E">
        <w:rPr>
          <w:rFonts w:ascii="Roboto" w:eastAsia="Times New Roman" w:hAnsi="Roboto" w:cs="Times New Roman"/>
          <w:color w:val="222222"/>
        </w:rPr>
        <w:t>In “</w:t>
      </w:r>
      <w:hyperlink r:id="rId12" w:tgtFrame="_blank" w:history="1">
        <w:r w:rsidRPr="0099163E">
          <w:rPr>
            <w:rFonts w:ascii="Roboto" w:eastAsia="Times New Roman" w:hAnsi="Roboto" w:cs="Times New Roman"/>
            <w:color w:val="006682"/>
            <w:u w:val="single"/>
          </w:rPr>
          <w:t>Using ‘Frameworks’ To Enhance Teaching and Learning</w:t>
        </w:r>
      </w:hyperlink>
      <w:r w:rsidRPr="0099163E">
        <w:rPr>
          <w:rFonts w:ascii="Roboto" w:eastAsia="Times New Roman" w:hAnsi="Roboto" w:cs="Times New Roman"/>
          <w:color w:val="222222"/>
        </w:rPr>
        <w:t>” (2012), Patrice W. Hallock describes an assignment in which her students draw their thinking about how they make sense of course content. One student used the metaphor of a camera (right). Although her assignment doesn’t include an essay explication, this student-generated and -drawn metaphor for a concept is the beginning of a metaphor map.</w:t>
      </w:r>
    </w:p>
    <w:p w14:paraId="726F5959" w14:textId="77777777" w:rsidR="0099163E" w:rsidRPr="0099163E" w:rsidRDefault="0099163E" w:rsidP="0099163E">
      <w:pPr>
        <w:numPr>
          <w:ilvl w:val="0"/>
          <w:numId w:val="3"/>
        </w:numPr>
        <w:shd w:val="clear" w:color="auto" w:fill="FFFFFF"/>
        <w:spacing w:before="100" w:beforeAutospacing="1" w:after="100" w:afterAutospacing="1" w:line="408" w:lineRule="atLeast"/>
        <w:rPr>
          <w:rFonts w:ascii="Roboto" w:eastAsia="Times New Roman" w:hAnsi="Roboto" w:cs="Times New Roman"/>
          <w:color w:val="222222"/>
        </w:rPr>
      </w:pPr>
      <w:r w:rsidRPr="0099163E">
        <w:rPr>
          <w:rFonts w:ascii="Roboto" w:eastAsia="Times New Roman" w:hAnsi="Roboto" w:cs="Times New Roman"/>
          <w:color w:val="222222"/>
        </w:rPr>
        <w:t>In a philosophy class, a sample metaphor for critical thinking is a ship at sea surrounded by ethical mountains (below, right; Pierce).</w:t>
      </w:r>
      <w:bookmarkStart w:id="1" w:name="anthols"/>
      <w:bookmarkEnd w:id="1"/>
    </w:p>
    <w:p w14:paraId="34C3AD42" w14:textId="7AC63228" w:rsidR="0099163E" w:rsidRPr="0099163E" w:rsidRDefault="0099163E" w:rsidP="0099163E">
      <w:pPr>
        <w:rPr>
          <w:rFonts w:ascii="Times New Roman" w:eastAsia="Times New Roman" w:hAnsi="Times New Roman" w:cs="Times New Roman"/>
        </w:rPr>
      </w:pPr>
      <w:r w:rsidRPr="0099163E">
        <w:rPr>
          <w:rFonts w:ascii="Times New Roman" w:eastAsia="Times New Roman" w:hAnsi="Times New Roman" w:cs="Times New Roman"/>
          <w:noProof/>
          <w:color w:val="006682"/>
        </w:rPr>
        <w:drawing>
          <wp:inline distT="0" distB="0" distL="0" distR="0" wp14:anchorId="0C0C41B2" wp14:editId="1D0242B7">
            <wp:extent cx="2133600" cy="1656080"/>
            <wp:effectExtent l="0" t="0" r="0" b="0"/>
            <wp:docPr id="8" name="Picture 8">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0" cy="1656080"/>
                    </a:xfrm>
                    <a:prstGeom prst="rect">
                      <a:avLst/>
                    </a:prstGeom>
                    <a:noFill/>
                    <a:ln>
                      <a:noFill/>
                    </a:ln>
                  </pic:spPr>
                </pic:pic>
              </a:graphicData>
            </a:graphic>
          </wp:inline>
        </w:drawing>
      </w:r>
      <w:r w:rsidRPr="0099163E">
        <w:rPr>
          <w:rFonts w:ascii="Times New Roman" w:eastAsia="Times New Roman" w:hAnsi="Times New Roman" w:cs="Times New Roman"/>
        </w:rPr>
        <w:t>Philosophy</w:t>
      </w:r>
    </w:p>
    <w:p w14:paraId="51DA959E" w14:textId="77777777" w:rsidR="0099163E" w:rsidRPr="0099163E" w:rsidRDefault="0099163E" w:rsidP="0099163E">
      <w:pPr>
        <w:numPr>
          <w:ilvl w:val="0"/>
          <w:numId w:val="4"/>
        </w:numPr>
        <w:shd w:val="clear" w:color="auto" w:fill="FFFFFF"/>
        <w:spacing w:before="100" w:beforeAutospacing="1" w:after="100" w:afterAutospacing="1" w:line="408" w:lineRule="atLeast"/>
        <w:rPr>
          <w:rFonts w:ascii="Roboto" w:eastAsia="Times New Roman" w:hAnsi="Roboto" w:cs="Times New Roman"/>
          <w:color w:val="222222"/>
        </w:rPr>
      </w:pPr>
      <w:r w:rsidRPr="0099163E">
        <w:rPr>
          <w:rFonts w:ascii="Roboto" w:eastAsia="Times New Roman" w:hAnsi="Roboto" w:cs="Times New Roman"/>
          <w:color w:val="222222"/>
        </w:rPr>
        <w:t xml:space="preserve">In a multicultural literature class, a student drew a baseball field in the final inning. The teams represented two of the cultures he’d read about in the class, </w:t>
      </w:r>
      <w:r w:rsidRPr="0099163E">
        <w:rPr>
          <w:rFonts w:ascii="Roboto" w:eastAsia="Times New Roman" w:hAnsi="Roboto" w:cs="Times New Roman"/>
          <w:color w:val="222222"/>
        </w:rPr>
        <w:lastRenderedPageBreak/>
        <w:t>the baseball field represented the All-American setting where they were at conflict, and the final inning suggested a time of crisis.</w:t>
      </w:r>
    </w:p>
    <w:p w14:paraId="49AAA3AB" w14:textId="77777777" w:rsidR="0099163E" w:rsidRPr="0099163E" w:rsidRDefault="0099163E" w:rsidP="0099163E">
      <w:pPr>
        <w:numPr>
          <w:ilvl w:val="0"/>
          <w:numId w:val="4"/>
        </w:numPr>
        <w:shd w:val="clear" w:color="auto" w:fill="FFFFFF"/>
        <w:spacing w:before="100" w:beforeAutospacing="1" w:after="100" w:afterAutospacing="1" w:line="408" w:lineRule="atLeast"/>
        <w:rPr>
          <w:rFonts w:ascii="Roboto" w:eastAsia="Times New Roman" w:hAnsi="Roboto" w:cs="Times New Roman"/>
          <w:color w:val="222222"/>
        </w:rPr>
      </w:pPr>
      <w:r w:rsidRPr="0099163E">
        <w:rPr>
          <w:rFonts w:ascii="Roboto" w:eastAsia="Times New Roman" w:hAnsi="Roboto" w:cs="Times New Roman"/>
          <w:color w:val="222222"/>
        </w:rPr>
        <w:t>These “</w:t>
      </w:r>
      <w:hyperlink r:id="rId15" w:tgtFrame="_blank" w:history="1">
        <w:r w:rsidRPr="0099163E">
          <w:rPr>
            <w:rFonts w:ascii="Roboto" w:eastAsia="Times New Roman" w:hAnsi="Roboto" w:cs="Times New Roman"/>
            <w:color w:val="006682"/>
            <w:u w:val="single"/>
          </w:rPr>
          <w:t>Minimalist Fairy Tales</w:t>
        </w:r>
      </w:hyperlink>
      <w:r w:rsidRPr="0099163E">
        <w:rPr>
          <w:rFonts w:ascii="Roboto" w:eastAsia="Times New Roman" w:hAnsi="Roboto" w:cs="Times New Roman"/>
          <w:color w:val="222222"/>
        </w:rPr>
        <w:t>” drawings offer great examples of a slight alternative to metaphor maps. Students can be asked to draw a simple image from the text that captures the essential meaning of the whole text. Synecdoche Maps!</w:t>
      </w:r>
    </w:p>
    <w:p w14:paraId="3255A5B9" w14:textId="77777777" w:rsidR="0099163E" w:rsidRPr="0099163E" w:rsidRDefault="0099163E" w:rsidP="0099163E">
      <w:pPr>
        <w:shd w:val="clear" w:color="auto" w:fill="FFFFFF"/>
        <w:spacing w:before="225" w:after="225" w:line="408" w:lineRule="atLeast"/>
        <w:rPr>
          <w:rFonts w:ascii="Roboto" w:eastAsia="Times New Roman" w:hAnsi="Roboto" w:cs="Times New Roman"/>
          <w:color w:val="222222"/>
        </w:rPr>
      </w:pPr>
      <w:r w:rsidRPr="0099163E">
        <w:rPr>
          <w:rFonts w:ascii="Roboto" w:eastAsia="Times New Roman" w:hAnsi="Roboto" w:cs="Times New Roman"/>
          <w:color w:val="222222"/>
        </w:rPr>
        <w:t> </w:t>
      </w:r>
    </w:p>
    <w:p w14:paraId="1AC37271" w14:textId="77777777" w:rsidR="0099163E" w:rsidRPr="0099163E" w:rsidRDefault="0099163E" w:rsidP="0099163E">
      <w:pPr>
        <w:pBdr>
          <w:top w:val="single" w:sz="6" w:space="11" w:color="D8AB4C"/>
          <w:left w:val="single" w:sz="6" w:space="11" w:color="D8AB4C"/>
          <w:bottom w:val="single" w:sz="6" w:space="11" w:color="D8AB4C"/>
          <w:right w:val="single" w:sz="48" w:space="11" w:color="D8AB4C"/>
        </w:pBdr>
        <w:shd w:val="clear" w:color="auto" w:fill="FFFFFF"/>
        <w:spacing w:before="450" w:after="450"/>
        <w:outlineLvl w:val="1"/>
        <w:rPr>
          <w:rFonts w:ascii="Source Sans Pro" w:eastAsia="Times New Roman" w:hAnsi="Source Sans Pro" w:cs="Times New Roman"/>
          <w:color w:val="222222"/>
          <w:sz w:val="36"/>
          <w:szCs w:val="36"/>
        </w:rPr>
      </w:pPr>
      <w:r w:rsidRPr="0099163E">
        <w:rPr>
          <w:rFonts w:ascii="Source Sans Pro" w:eastAsia="Times New Roman" w:hAnsi="Source Sans Pro" w:cs="Times New Roman"/>
          <w:b/>
          <w:bCs/>
          <w:i/>
          <w:iCs/>
          <w:color w:val="222222"/>
          <w:sz w:val="36"/>
          <w:szCs w:val="36"/>
        </w:rPr>
        <w:t>Student Anthologies</w:t>
      </w:r>
    </w:p>
    <w:p w14:paraId="570A106C" w14:textId="77777777" w:rsidR="0099163E" w:rsidRPr="0099163E" w:rsidRDefault="0099163E" w:rsidP="0099163E">
      <w:pPr>
        <w:shd w:val="clear" w:color="auto" w:fill="FAFAFA"/>
        <w:spacing w:before="225" w:line="408" w:lineRule="atLeast"/>
        <w:rPr>
          <w:rFonts w:ascii="Roboto" w:eastAsia="Times New Roman" w:hAnsi="Roboto" w:cs="Times New Roman"/>
          <w:color w:val="006682"/>
        </w:rPr>
      </w:pPr>
      <w:r w:rsidRPr="0099163E">
        <w:rPr>
          <w:rFonts w:ascii="Roboto" w:eastAsia="Times New Roman" w:hAnsi="Roboto" w:cs="Times New Roman"/>
          <w:i/>
          <w:iCs/>
          <w:color w:val="006682"/>
        </w:rPr>
        <w:t>Students perform the work of editors or curators</w:t>
      </w:r>
    </w:p>
    <w:p w14:paraId="3824E1FE" w14:textId="77777777" w:rsidR="0099163E" w:rsidRPr="0099163E" w:rsidRDefault="0099163E" w:rsidP="0099163E">
      <w:pPr>
        <w:shd w:val="clear" w:color="auto" w:fill="FFFFFF"/>
        <w:spacing w:before="225" w:after="225" w:line="408" w:lineRule="atLeast"/>
        <w:rPr>
          <w:rFonts w:ascii="Roboto" w:eastAsia="Times New Roman" w:hAnsi="Roboto" w:cs="Times New Roman"/>
          <w:color w:val="222222"/>
        </w:rPr>
      </w:pPr>
      <w:r w:rsidRPr="0099163E">
        <w:rPr>
          <w:rFonts w:ascii="Roboto" w:eastAsia="Times New Roman" w:hAnsi="Roboto" w:cs="Times New Roman"/>
          <w:color w:val="222222"/>
        </w:rPr>
        <w:t xml:space="preserve">A significant genre in the humanities is the anthology, collections of poems, stories, essays, artwork, </w:t>
      </w:r>
      <w:proofErr w:type="spellStart"/>
      <w:r w:rsidRPr="0099163E">
        <w:rPr>
          <w:rFonts w:ascii="Roboto" w:eastAsia="Times New Roman" w:hAnsi="Roboto" w:cs="Times New Roman"/>
          <w:color w:val="222222"/>
        </w:rPr>
        <w:t>etc</w:t>
      </w:r>
      <w:proofErr w:type="spellEnd"/>
      <w:r w:rsidRPr="0099163E">
        <w:rPr>
          <w:rFonts w:ascii="Roboto" w:eastAsia="Times New Roman" w:hAnsi="Roboto" w:cs="Times New Roman"/>
          <w:color w:val="222222"/>
        </w:rPr>
        <w:t>, selected, researched, and annotated by an editor.  Students can take on this role of editor, acting as curator and commentator as they establish a sense of authority and ownership over the material (Chick, 2002). They make intentional decisions about which pieces to include, what contexts to provide in their editorial notes, and even what paper, binding, font, and illustrations to use. If the pieces are short enough, as in a poetry anthology, students can be required to write or type the pieces themselves “to engage with every letter, every punctuation mark, every capital or lower-case letter, and every line break, and to consider the meanings of these choices by the poet” (p. 420). They include a title page, table of contents, prologue, and epilogue framing their anthology.</w:t>
      </w:r>
    </w:p>
    <w:p w14:paraId="79FE902E" w14:textId="77777777" w:rsidR="0099163E" w:rsidRPr="0099163E" w:rsidRDefault="0099163E" w:rsidP="0099163E">
      <w:pPr>
        <w:shd w:val="clear" w:color="auto" w:fill="FFFFFF"/>
        <w:spacing w:before="225" w:after="225" w:line="408" w:lineRule="atLeast"/>
        <w:rPr>
          <w:rFonts w:ascii="Roboto" w:eastAsia="Times New Roman" w:hAnsi="Roboto" w:cs="Times New Roman"/>
          <w:color w:val="222222"/>
        </w:rPr>
      </w:pPr>
      <w:r w:rsidRPr="0099163E">
        <w:rPr>
          <w:rFonts w:ascii="Roboto" w:eastAsia="Times New Roman" w:hAnsi="Roboto" w:cs="Times New Roman"/>
          <w:color w:val="222222"/>
        </w:rPr>
        <w:t>Giving students guidance for their editorial responses to each selection is helpful.  Some possibilities include the following:</w:t>
      </w:r>
    </w:p>
    <w:p w14:paraId="35EE3CC8" w14:textId="77777777" w:rsidR="0099163E" w:rsidRPr="0099163E" w:rsidRDefault="0099163E" w:rsidP="0099163E">
      <w:pPr>
        <w:numPr>
          <w:ilvl w:val="0"/>
          <w:numId w:val="5"/>
        </w:numPr>
        <w:shd w:val="clear" w:color="auto" w:fill="FFFFFF"/>
        <w:spacing w:before="100" w:beforeAutospacing="1" w:after="100" w:afterAutospacing="1" w:line="408" w:lineRule="atLeast"/>
        <w:rPr>
          <w:rFonts w:ascii="Roboto" w:eastAsia="Times New Roman" w:hAnsi="Roboto" w:cs="Times New Roman"/>
          <w:color w:val="222222"/>
        </w:rPr>
      </w:pPr>
      <w:r w:rsidRPr="0099163E">
        <w:rPr>
          <w:rFonts w:ascii="Roboto" w:eastAsia="Times New Roman" w:hAnsi="Roboto" w:cs="Times New Roman"/>
          <w:color w:val="222222"/>
        </w:rPr>
        <w:t>Argue for its significance</w:t>
      </w:r>
    </w:p>
    <w:p w14:paraId="0F9E991B" w14:textId="77777777" w:rsidR="0099163E" w:rsidRPr="0099163E" w:rsidRDefault="0099163E" w:rsidP="0099163E">
      <w:pPr>
        <w:numPr>
          <w:ilvl w:val="0"/>
          <w:numId w:val="5"/>
        </w:numPr>
        <w:shd w:val="clear" w:color="auto" w:fill="FFFFFF"/>
        <w:spacing w:before="100" w:beforeAutospacing="1" w:after="100" w:afterAutospacing="1" w:line="408" w:lineRule="atLeast"/>
        <w:rPr>
          <w:rFonts w:ascii="Roboto" w:eastAsia="Times New Roman" w:hAnsi="Roboto" w:cs="Times New Roman"/>
          <w:color w:val="222222"/>
        </w:rPr>
      </w:pPr>
      <w:r w:rsidRPr="0099163E">
        <w:rPr>
          <w:rFonts w:ascii="Roboto" w:eastAsia="Times New Roman" w:hAnsi="Roboto" w:cs="Times New Roman"/>
          <w:color w:val="222222"/>
        </w:rPr>
        <w:t>Interpret its meaning</w:t>
      </w:r>
    </w:p>
    <w:p w14:paraId="5264491F" w14:textId="77777777" w:rsidR="0099163E" w:rsidRPr="0099163E" w:rsidRDefault="0099163E" w:rsidP="0099163E">
      <w:pPr>
        <w:numPr>
          <w:ilvl w:val="0"/>
          <w:numId w:val="5"/>
        </w:numPr>
        <w:shd w:val="clear" w:color="auto" w:fill="FFFFFF"/>
        <w:spacing w:before="100" w:beforeAutospacing="1" w:after="100" w:afterAutospacing="1" w:line="408" w:lineRule="atLeast"/>
        <w:rPr>
          <w:rFonts w:ascii="Roboto" w:eastAsia="Times New Roman" w:hAnsi="Roboto" w:cs="Times New Roman"/>
          <w:color w:val="222222"/>
        </w:rPr>
      </w:pPr>
      <w:r w:rsidRPr="0099163E">
        <w:rPr>
          <w:rFonts w:ascii="Roboto" w:eastAsia="Times New Roman" w:hAnsi="Roboto" w:cs="Times New Roman"/>
          <w:color w:val="222222"/>
        </w:rPr>
        <w:t>Describe its historical and cultural context</w:t>
      </w:r>
    </w:p>
    <w:p w14:paraId="6C55F975" w14:textId="77777777" w:rsidR="0099163E" w:rsidRPr="0099163E" w:rsidRDefault="0099163E" w:rsidP="0099163E">
      <w:pPr>
        <w:numPr>
          <w:ilvl w:val="0"/>
          <w:numId w:val="5"/>
        </w:numPr>
        <w:shd w:val="clear" w:color="auto" w:fill="FFFFFF"/>
        <w:spacing w:before="100" w:beforeAutospacing="1" w:after="100" w:afterAutospacing="1" w:line="408" w:lineRule="atLeast"/>
        <w:rPr>
          <w:rFonts w:ascii="Roboto" w:eastAsia="Times New Roman" w:hAnsi="Roboto" w:cs="Times New Roman"/>
          <w:color w:val="222222"/>
        </w:rPr>
      </w:pPr>
      <w:r w:rsidRPr="0099163E">
        <w:rPr>
          <w:rFonts w:ascii="Roboto" w:eastAsia="Times New Roman" w:hAnsi="Roboto" w:cs="Times New Roman"/>
          <w:color w:val="222222"/>
        </w:rPr>
        <w:lastRenderedPageBreak/>
        <w:t>Write a biographical headnote using details most relevant to the selection</w:t>
      </w:r>
    </w:p>
    <w:p w14:paraId="394FFD7B" w14:textId="77777777" w:rsidR="0099163E" w:rsidRPr="0099163E" w:rsidRDefault="0099163E" w:rsidP="0099163E">
      <w:pPr>
        <w:numPr>
          <w:ilvl w:val="0"/>
          <w:numId w:val="5"/>
        </w:numPr>
        <w:shd w:val="clear" w:color="auto" w:fill="FFFFFF"/>
        <w:spacing w:before="100" w:beforeAutospacing="1" w:after="100" w:afterAutospacing="1" w:line="408" w:lineRule="atLeast"/>
        <w:rPr>
          <w:rFonts w:ascii="Roboto" w:eastAsia="Times New Roman" w:hAnsi="Roboto" w:cs="Times New Roman"/>
          <w:color w:val="222222"/>
        </w:rPr>
      </w:pPr>
      <w:r w:rsidRPr="0099163E">
        <w:rPr>
          <w:rFonts w:ascii="Roboto" w:eastAsia="Times New Roman" w:hAnsi="Roboto" w:cs="Times New Roman"/>
          <w:color w:val="222222"/>
        </w:rPr>
        <w:t>Explain how it illustrates an important disciplinary theory or concept</w:t>
      </w:r>
    </w:p>
    <w:p w14:paraId="4CBC3AD0" w14:textId="77777777" w:rsidR="0099163E" w:rsidRPr="0099163E" w:rsidRDefault="0099163E" w:rsidP="0099163E">
      <w:pPr>
        <w:shd w:val="clear" w:color="auto" w:fill="FFFFFF"/>
        <w:spacing w:before="225" w:after="225" w:line="408" w:lineRule="atLeast"/>
        <w:rPr>
          <w:rFonts w:ascii="Roboto" w:eastAsia="Times New Roman" w:hAnsi="Roboto" w:cs="Times New Roman"/>
          <w:color w:val="222222"/>
        </w:rPr>
      </w:pPr>
      <w:r w:rsidRPr="0099163E">
        <w:rPr>
          <w:rFonts w:ascii="Roboto" w:eastAsia="Times New Roman" w:hAnsi="Roboto" w:cs="Times New Roman"/>
          <w:color w:val="222222"/>
        </w:rPr>
        <w:t>Ultimately, students are “defining their own aesthetics” and becoming “aware of the ramifications of making aesthetic choices” by creating their anthologies (p. 422). This analysis can then be connected to the formation of the canon, revealing the subjective nature of “what they may have thought were universal or unquestioned notions” of quality and significance in the field.</w:t>
      </w:r>
      <w:r w:rsidRPr="0099163E">
        <w:rPr>
          <w:rFonts w:ascii="Roboto" w:eastAsia="Times New Roman" w:hAnsi="Roboto" w:cs="Times New Roman"/>
          <w:color w:val="222222"/>
        </w:rPr>
        <w:br/>
      </w:r>
      <w:bookmarkStart w:id="2" w:name="posters"/>
      <w:bookmarkEnd w:id="2"/>
      <w:r w:rsidRPr="0099163E">
        <w:rPr>
          <w:rFonts w:ascii="Roboto" w:eastAsia="Times New Roman" w:hAnsi="Roboto" w:cs="Times New Roman"/>
          <w:color w:val="222222"/>
        </w:rPr>
        <w:br/>
      </w:r>
      <w:r w:rsidRPr="0099163E">
        <w:rPr>
          <w:rFonts w:ascii="Roboto" w:eastAsia="Times New Roman" w:hAnsi="Roboto" w:cs="Times New Roman"/>
          <w:b/>
          <w:bCs/>
          <w:i/>
          <w:iCs/>
          <w:color w:val="222222"/>
        </w:rPr>
        <w:t>Resource</w:t>
      </w:r>
    </w:p>
    <w:p w14:paraId="6C292350" w14:textId="77777777" w:rsidR="0099163E" w:rsidRPr="0099163E" w:rsidRDefault="0099163E" w:rsidP="0099163E">
      <w:pPr>
        <w:numPr>
          <w:ilvl w:val="0"/>
          <w:numId w:val="6"/>
        </w:numPr>
        <w:shd w:val="clear" w:color="auto" w:fill="FFFFFF"/>
        <w:spacing w:before="100" w:beforeAutospacing="1" w:after="100" w:afterAutospacing="1" w:line="408" w:lineRule="atLeast"/>
        <w:rPr>
          <w:rFonts w:ascii="Roboto" w:eastAsia="Times New Roman" w:hAnsi="Roboto" w:cs="Times New Roman"/>
          <w:color w:val="222222"/>
        </w:rPr>
      </w:pPr>
      <w:r w:rsidRPr="0099163E">
        <w:rPr>
          <w:rFonts w:ascii="Roboto" w:eastAsia="Times New Roman" w:hAnsi="Roboto" w:cs="Times New Roman"/>
          <w:color w:val="000000"/>
        </w:rPr>
        <w:t>“</w:t>
      </w:r>
      <w:hyperlink r:id="rId16" w:tgtFrame="_blank" w:history="1">
        <w:r w:rsidRPr="0099163E">
          <w:rPr>
            <w:rFonts w:ascii="Roboto" w:eastAsia="Times New Roman" w:hAnsi="Roboto" w:cs="Times New Roman"/>
            <w:color w:val="006682"/>
            <w:u w:val="single"/>
          </w:rPr>
          <w:t>Anthologizing Transformation: Breaking Down Students’ ‘Private Theories’ about Poetry</w:t>
        </w:r>
      </w:hyperlink>
      <w:r w:rsidRPr="0099163E">
        <w:rPr>
          <w:rFonts w:ascii="Roboto" w:eastAsia="Times New Roman" w:hAnsi="Roboto" w:cs="Times New Roman"/>
          <w:color w:val="000000"/>
        </w:rPr>
        <w:t>” (2002) explains the rationale and process for student anthologies in greater detail.</w:t>
      </w:r>
    </w:p>
    <w:p w14:paraId="013CA788" w14:textId="77777777" w:rsidR="0099163E" w:rsidRPr="0099163E" w:rsidRDefault="0099163E" w:rsidP="0099163E">
      <w:pPr>
        <w:pBdr>
          <w:top w:val="single" w:sz="6" w:space="11" w:color="D8AB4C"/>
          <w:left w:val="single" w:sz="6" w:space="11" w:color="D8AB4C"/>
          <w:bottom w:val="single" w:sz="6" w:space="11" w:color="D8AB4C"/>
          <w:right w:val="single" w:sz="48" w:space="11" w:color="D8AB4C"/>
        </w:pBdr>
        <w:shd w:val="clear" w:color="auto" w:fill="FFFFFF"/>
        <w:spacing w:before="450" w:after="450"/>
        <w:outlineLvl w:val="1"/>
        <w:rPr>
          <w:rFonts w:ascii="Source Sans Pro" w:eastAsia="Times New Roman" w:hAnsi="Source Sans Pro" w:cs="Times New Roman"/>
          <w:color w:val="222222"/>
          <w:sz w:val="36"/>
          <w:szCs w:val="36"/>
        </w:rPr>
      </w:pPr>
      <w:r w:rsidRPr="0099163E">
        <w:rPr>
          <w:rFonts w:ascii="Source Sans Pro" w:eastAsia="Times New Roman" w:hAnsi="Source Sans Pro" w:cs="Times New Roman"/>
          <w:b/>
          <w:bCs/>
          <w:i/>
          <w:iCs/>
          <w:color w:val="222222"/>
          <w:sz w:val="36"/>
          <w:szCs w:val="36"/>
        </w:rPr>
        <w:t>Poster Presentations</w:t>
      </w:r>
    </w:p>
    <w:p w14:paraId="0EF3BC70" w14:textId="77777777" w:rsidR="0099163E" w:rsidRPr="0099163E" w:rsidRDefault="0099163E" w:rsidP="0099163E">
      <w:pPr>
        <w:shd w:val="clear" w:color="auto" w:fill="FAFAFA"/>
        <w:spacing w:before="225" w:line="408" w:lineRule="atLeast"/>
        <w:rPr>
          <w:rFonts w:ascii="Roboto" w:eastAsia="Times New Roman" w:hAnsi="Roboto" w:cs="Times New Roman"/>
          <w:color w:val="006682"/>
        </w:rPr>
      </w:pPr>
      <w:r w:rsidRPr="0099163E">
        <w:rPr>
          <w:rFonts w:ascii="Roboto" w:eastAsia="Times New Roman" w:hAnsi="Roboto" w:cs="Times New Roman"/>
          <w:i/>
          <w:iCs/>
          <w:color w:val="006682"/>
        </w:rPr>
        <w:t>Students visually showcase their learning and present it to wider audiences</w:t>
      </w:r>
    </w:p>
    <w:p w14:paraId="3790D8B9" w14:textId="77777777" w:rsidR="0099163E" w:rsidRPr="0099163E" w:rsidRDefault="0099163E" w:rsidP="0099163E">
      <w:pPr>
        <w:shd w:val="clear" w:color="auto" w:fill="FFFFFF"/>
        <w:spacing w:before="225" w:after="225" w:line="408" w:lineRule="atLeast"/>
        <w:rPr>
          <w:rFonts w:ascii="Roboto" w:eastAsia="Times New Roman" w:hAnsi="Roboto" w:cs="Times New Roman"/>
          <w:color w:val="222222"/>
        </w:rPr>
      </w:pPr>
      <w:r w:rsidRPr="0099163E">
        <w:rPr>
          <w:rFonts w:ascii="Roboto" w:eastAsia="Times New Roman" w:hAnsi="Roboto" w:cs="Times New Roman"/>
          <w:color w:val="222222"/>
        </w:rPr>
        <w:t>Le</w:t>
      </w:r>
      <w:r w:rsidRPr="0099163E">
        <w:rPr>
          <w:rFonts w:ascii="Roboto" w:eastAsia="Times New Roman" w:hAnsi="Roboto" w:cs="Times New Roman"/>
          <w:color w:val="000000"/>
        </w:rPr>
        <w:t>e Shulman, </w:t>
      </w:r>
      <w:r w:rsidRPr="0099163E">
        <w:rPr>
          <w:rFonts w:ascii="Roboto" w:eastAsia="Times New Roman" w:hAnsi="Roboto" w:cs="Times New Roman"/>
          <w:color w:val="222222"/>
        </w:rPr>
        <w:t>President Emeritus of the Carnegie Foundation for the Advancement of Teaching, has written of the importance of engaging with our teaching as we do our research–as “‘</w:t>
      </w:r>
      <w:hyperlink r:id="rId17" w:tgtFrame="_blank" w:history="1">
        <w:r w:rsidRPr="0099163E">
          <w:rPr>
            <w:rFonts w:ascii="Roboto" w:eastAsia="Times New Roman" w:hAnsi="Roboto" w:cs="Times New Roman"/>
            <w:color w:val="006682"/>
            <w:u w:val="single"/>
          </w:rPr>
          <w:t>community property</w:t>
        </w:r>
      </w:hyperlink>
      <w:r w:rsidRPr="0099163E">
        <w:rPr>
          <w:rFonts w:ascii="Roboto" w:eastAsia="Times New Roman" w:hAnsi="Roboto" w:cs="Times New Roman"/>
          <w:color w:val="222222"/>
        </w:rPr>
        <w:t>”: “We close the classroom doors and experience pedagogical solitude, whereas in our life as scholars, we are members of active communities: communities of conversation, communities of evaluation, communities in which we gather with others in our invisible colleges to exchange our findings, our methods, and our excuses” (2004, p. 140). What if we asked our students to do the same with their learning–as fellow citizens of the university, emerging scholars and researchers and producers of their own knowledge?  In this model of making learning community property, the audience for student learning extends beyond the instructor and often even classmates–reaching out to a larger community that remains authentic to disciplinary and learning goals.</w:t>
      </w:r>
    </w:p>
    <w:p w14:paraId="4AD713DA" w14:textId="77777777" w:rsidR="0099163E" w:rsidRPr="0099163E" w:rsidRDefault="0099163E" w:rsidP="0099163E">
      <w:pPr>
        <w:shd w:val="clear" w:color="auto" w:fill="FFFFFF"/>
        <w:spacing w:before="225" w:after="225" w:line="408" w:lineRule="atLeast"/>
        <w:rPr>
          <w:rFonts w:ascii="Roboto" w:eastAsia="Times New Roman" w:hAnsi="Roboto" w:cs="Times New Roman"/>
          <w:color w:val="222222"/>
        </w:rPr>
      </w:pPr>
      <w:r w:rsidRPr="0099163E">
        <w:rPr>
          <w:rFonts w:ascii="Roboto" w:eastAsia="Times New Roman" w:hAnsi="Roboto" w:cs="Times New Roman"/>
          <w:color w:val="222222"/>
        </w:rPr>
        <w:lastRenderedPageBreak/>
        <w:t xml:space="preserve">The genre of the academic poster is a staple in the natural and social sciences, displayed at conferences and other meetings to share research findings with peers, and students in these fields begin practicing these ways of going public fairly early.  As Hess, </w:t>
      </w:r>
      <w:proofErr w:type="spellStart"/>
      <w:r w:rsidRPr="0099163E">
        <w:rPr>
          <w:rFonts w:ascii="Roboto" w:eastAsia="Times New Roman" w:hAnsi="Roboto" w:cs="Times New Roman"/>
          <w:color w:val="222222"/>
        </w:rPr>
        <w:t>Tosney</w:t>
      </w:r>
      <w:proofErr w:type="spellEnd"/>
      <w:r w:rsidRPr="0099163E">
        <w:rPr>
          <w:rFonts w:ascii="Roboto" w:eastAsia="Times New Roman" w:hAnsi="Roboto" w:cs="Times New Roman"/>
          <w:color w:val="222222"/>
        </w:rPr>
        <w:t xml:space="preserve">, and </w:t>
      </w:r>
      <w:proofErr w:type="spellStart"/>
      <w:r w:rsidRPr="0099163E">
        <w:rPr>
          <w:rFonts w:ascii="Roboto" w:eastAsia="Times New Roman" w:hAnsi="Roboto" w:cs="Times New Roman"/>
          <w:color w:val="222222"/>
        </w:rPr>
        <w:t>Liegel</w:t>
      </w:r>
      <w:proofErr w:type="spellEnd"/>
      <w:r w:rsidRPr="0099163E">
        <w:rPr>
          <w:rFonts w:ascii="Roboto" w:eastAsia="Times New Roman" w:hAnsi="Roboto" w:cs="Times New Roman"/>
          <w:color w:val="222222"/>
        </w:rPr>
        <w:t xml:space="preserve"> demonstrate in “</w:t>
      </w:r>
      <w:hyperlink r:id="rId18" w:tgtFrame="_blank" w:history="1">
        <w:r w:rsidRPr="0099163E">
          <w:rPr>
            <w:rFonts w:ascii="Roboto" w:eastAsia="Times New Roman" w:hAnsi="Roboto" w:cs="Times New Roman"/>
            <w:color w:val="006682"/>
            <w:u w:val="single"/>
          </w:rPr>
          <w:t>Creating Effective Poster Presentations</w:t>
        </w:r>
      </w:hyperlink>
      <w:r w:rsidRPr="0099163E">
        <w:rPr>
          <w:rFonts w:ascii="Roboto" w:eastAsia="Times New Roman" w:hAnsi="Roboto" w:cs="Times New Roman"/>
          <w:color w:val="222222"/>
        </w:rPr>
        <w:t>” (2013), these visual representations of knowledge “operate on multiple levels”: “source of information, conversation starter, advertisement of your work, and summary of your work.” Poster sessions can be lively sites of conversations about new and interesting work in the field, but few (if any) disciplines in the humanities use this genre. In this way, assigning posters may feel inauthentic; however, the genre’s attention to sharing content in a concise, visual, and public format </w:t>
      </w:r>
      <w:r w:rsidRPr="0099163E">
        <w:rPr>
          <w:rFonts w:ascii="Roboto" w:eastAsia="Times New Roman" w:hAnsi="Roboto" w:cs="Times New Roman"/>
          <w:b/>
          <w:bCs/>
          <w:color w:val="222222"/>
        </w:rPr>
        <w:t>can be adapted to more closely reflect the meaning-making in the humanities.</w:t>
      </w:r>
      <w:r w:rsidRPr="0099163E">
        <w:rPr>
          <w:rFonts w:ascii="Roboto" w:eastAsia="Times New Roman" w:hAnsi="Roboto" w:cs="Times New Roman"/>
          <w:color w:val="222222"/>
        </w:rPr>
        <w:t> In fact, given many humanities disciplines’ appreciation of form reflecting content, the poster can make visible specific rhetorical moves, encouraging students to think not only about their ideas but also how they form their ideas.</w:t>
      </w:r>
    </w:p>
    <w:p w14:paraId="38215DE0" w14:textId="77777777" w:rsidR="0099163E" w:rsidRPr="0099163E" w:rsidRDefault="0099163E" w:rsidP="0099163E">
      <w:pPr>
        <w:shd w:val="clear" w:color="auto" w:fill="FFFFFF"/>
        <w:spacing w:before="225" w:after="225" w:line="408" w:lineRule="atLeast"/>
        <w:rPr>
          <w:rFonts w:ascii="Roboto" w:eastAsia="Times New Roman" w:hAnsi="Roboto" w:cs="Times New Roman"/>
          <w:color w:val="222222"/>
        </w:rPr>
      </w:pPr>
      <w:r w:rsidRPr="0099163E">
        <w:rPr>
          <w:rFonts w:ascii="Roboto" w:eastAsia="Times New Roman" w:hAnsi="Roboto" w:cs="Times New Roman"/>
          <w:color w:val="222222"/>
        </w:rPr>
        <w:t>It’s important to note that the poster is a conversation </w:t>
      </w:r>
      <w:r w:rsidRPr="0099163E">
        <w:rPr>
          <w:rFonts w:ascii="Roboto" w:eastAsia="Times New Roman" w:hAnsi="Roboto" w:cs="Times New Roman"/>
          <w:i/>
          <w:iCs/>
          <w:color w:val="222222"/>
        </w:rPr>
        <w:t>starter</w:t>
      </w:r>
      <w:r w:rsidRPr="0099163E">
        <w:rPr>
          <w:rFonts w:ascii="Roboto" w:eastAsia="Times New Roman" w:hAnsi="Roboto" w:cs="Times New Roman"/>
          <w:color w:val="222222"/>
        </w:rPr>
        <w:t>: it doesn’t have to present the project in its entirety. Instead, it can highlight part of the project, which the presenter uses to begin an oral explanation of the rest of the project.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473"/>
        <w:gridCol w:w="4887"/>
      </w:tblGrid>
      <w:tr w:rsidR="0099163E" w:rsidRPr="0099163E" w14:paraId="23450FE4" w14:textId="77777777" w:rsidTr="0099163E">
        <w:tc>
          <w:tcPr>
            <w:tcW w:w="0" w:type="auto"/>
            <w:shd w:val="clear" w:color="auto" w:fill="FFFFFF"/>
            <w:tcMar>
              <w:top w:w="0" w:type="dxa"/>
              <w:left w:w="0" w:type="dxa"/>
              <w:bottom w:w="0" w:type="dxa"/>
              <w:right w:w="0" w:type="dxa"/>
            </w:tcMar>
            <w:vAlign w:val="center"/>
            <w:hideMark/>
          </w:tcPr>
          <w:p w14:paraId="731B1F62" w14:textId="77777777" w:rsidR="0099163E" w:rsidRPr="0099163E" w:rsidRDefault="0099163E" w:rsidP="0099163E">
            <w:pPr>
              <w:rPr>
                <w:rFonts w:ascii="Roboto" w:eastAsia="Times New Roman" w:hAnsi="Roboto" w:cs="Times New Roman"/>
                <w:color w:val="222222"/>
              </w:rPr>
            </w:pPr>
            <w:r w:rsidRPr="0099163E">
              <w:rPr>
                <w:rFonts w:ascii="Roboto" w:eastAsia="Times New Roman" w:hAnsi="Roboto" w:cs="Times New Roman"/>
                <w:color w:val="222222"/>
              </w:rPr>
              <w:t> </w:t>
            </w:r>
          </w:p>
          <w:p w14:paraId="728FD79A" w14:textId="77777777" w:rsidR="0099163E" w:rsidRPr="0099163E" w:rsidRDefault="0099163E" w:rsidP="0099163E">
            <w:pPr>
              <w:spacing w:before="225" w:after="225" w:line="408" w:lineRule="atLeast"/>
              <w:rPr>
                <w:rFonts w:ascii="Roboto" w:eastAsia="Times New Roman" w:hAnsi="Roboto" w:cs="Times New Roman"/>
                <w:color w:val="222222"/>
              </w:rPr>
            </w:pPr>
            <w:r w:rsidRPr="0099163E">
              <w:rPr>
                <w:rFonts w:ascii="Roboto" w:eastAsia="Times New Roman" w:hAnsi="Roboto" w:cs="Times New Roman"/>
                <w:color w:val="222222"/>
              </w:rPr>
              <w:t> </w:t>
            </w:r>
          </w:p>
          <w:p w14:paraId="134F2975" w14:textId="77777777" w:rsidR="0099163E" w:rsidRPr="0099163E" w:rsidRDefault="0099163E" w:rsidP="0099163E">
            <w:pPr>
              <w:spacing w:before="225" w:after="225" w:line="408" w:lineRule="atLeast"/>
              <w:rPr>
                <w:rFonts w:ascii="Roboto" w:eastAsia="Times New Roman" w:hAnsi="Roboto" w:cs="Times New Roman"/>
                <w:color w:val="222222"/>
              </w:rPr>
            </w:pPr>
            <w:r w:rsidRPr="0099163E">
              <w:rPr>
                <w:rFonts w:ascii="Roboto" w:eastAsia="Times New Roman" w:hAnsi="Roboto" w:cs="Times New Roman"/>
                <w:color w:val="222222"/>
              </w:rPr>
              <w:t>For example, a poster might capture the processes of close reading and analysis of a single key passage of text (or image of a work of art), part of a larger project but focused on a key moment.</w:t>
            </w:r>
          </w:p>
        </w:tc>
        <w:tc>
          <w:tcPr>
            <w:tcW w:w="0" w:type="auto"/>
            <w:shd w:val="clear" w:color="auto" w:fill="FFFFFF"/>
            <w:tcMar>
              <w:top w:w="0" w:type="dxa"/>
              <w:left w:w="0" w:type="dxa"/>
              <w:bottom w:w="0" w:type="dxa"/>
              <w:right w:w="0" w:type="dxa"/>
            </w:tcMar>
            <w:vAlign w:val="center"/>
            <w:hideMark/>
          </w:tcPr>
          <w:p w14:paraId="5EF62061" w14:textId="158AF222" w:rsidR="0099163E" w:rsidRPr="0099163E" w:rsidRDefault="0099163E" w:rsidP="0099163E">
            <w:pPr>
              <w:rPr>
                <w:rFonts w:ascii="Roboto" w:eastAsia="Times New Roman" w:hAnsi="Roboto" w:cs="Times New Roman"/>
                <w:color w:val="222222"/>
              </w:rPr>
            </w:pPr>
            <w:r w:rsidRPr="0099163E">
              <w:rPr>
                <w:rFonts w:ascii="Roboto" w:eastAsia="Times New Roman" w:hAnsi="Roboto" w:cs="Times New Roman"/>
                <w:noProof/>
                <w:color w:val="006682"/>
              </w:rPr>
              <w:drawing>
                <wp:inline distT="0" distB="0" distL="0" distR="0" wp14:anchorId="4D41077B" wp14:editId="547487CF">
                  <wp:extent cx="2661920" cy="2042160"/>
                  <wp:effectExtent l="0" t="0" r="5080" b="2540"/>
                  <wp:docPr id="7" name="Picture 7">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61920" cy="2042160"/>
                          </a:xfrm>
                          <a:prstGeom prst="rect">
                            <a:avLst/>
                          </a:prstGeom>
                          <a:noFill/>
                          <a:ln>
                            <a:noFill/>
                          </a:ln>
                        </pic:spPr>
                      </pic:pic>
                    </a:graphicData>
                  </a:graphic>
                </wp:inline>
              </w:drawing>
            </w:r>
            <w:r w:rsidRPr="0099163E">
              <w:rPr>
                <w:rFonts w:ascii="Roboto" w:eastAsia="Times New Roman" w:hAnsi="Roboto" w:cs="Times New Roman"/>
                <w:color w:val="222222"/>
              </w:rPr>
              <w:t>Poster Highlighting a Close Reading (Click to enlarge.)</w:t>
            </w:r>
          </w:p>
        </w:tc>
      </w:tr>
      <w:tr w:rsidR="0099163E" w:rsidRPr="0099163E" w14:paraId="3A692F86" w14:textId="77777777" w:rsidTr="0099163E">
        <w:tc>
          <w:tcPr>
            <w:tcW w:w="0" w:type="auto"/>
            <w:shd w:val="clear" w:color="auto" w:fill="FFFFFF"/>
            <w:tcMar>
              <w:top w:w="0" w:type="dxa"/>
              <w:left w:w="0" w:type="dxa"/>
              <w:bottom w:w="0" w:type="dxa"/>
              <w:right w:w="0" w:type="dxa"/>
            </w:tcMar>
            <w:vAlign w:val="center"/>
            <w:hideMark/>
          </w:tcPr>
          <w:p w14:paraId="2B7F71D3" w14:textId="77777777" w:rsidR="0099163E" w:rsidRPr="0099163E" w:rsidRDefault="0099163E" w:rsidP="0099163E">
            <w:pPr>
              <w:rPr>
                <w:rFonts w:ascii="Roboto" w:eastAsia="Times New Roman" w:hAnsi="Roboto" w:cs="Times New Roman"/>
                <w:color w:val="222222"/>
              </w:rPr>
            </w:pPr>
            <w:r w:rsidRPr="0099163E">
              <w:rPr>
                <w:rFonts w:ascii="Roboto" w:eastAsia="Times New Roman" w:hAnsi="Roboto" w:cs="Times New Roman"/>
                <w:color w:val="222222"/>
              </w:rPr>
              <w:lastRenderedPageBreak/>
              <w:t> </w:t>
            </w:r>
          </w:p>
          <w:p w14:paraId="533E76E1" w14:textId="77777777" w:rsidR="0099163E" w:rsidRPr="0099163E" w:rsidRDefault="0099163E" w:rsidP="0099163E">
            <w:pPr>
              <w:spacing w:before="225" w:after="225" w:line="408" w:lineRule="atLeast"/>
              <w:rPr>
                <w:rFonts w:ascii="Roboto" w:eastAsia="Times New Roman" w:hAnsi="Roboto" w:cs="Times New Roman"/>
                <w:color w:val="222222"/>
              </w:rPr>
            </w:pPr>
            <w:r w:rsidRPr="0099163E">
              <w:rPr>
                <w:rFonts w:ascii="Roboto" w:eastAsia="Times New Roman" w:hAnsi="Roboto" w:cs="Times New Roman"/>
                <w:color w:val="222222"/>
              </w:rPr>
              <w:t> </w:t>
            </w:r>
          </w:p>
          <w:p w14:paraId="1E637DAB" w14:textId="77777777" w:rsidR="0099163E" w:rsidRPr="0099163E" w:rsidRDefault="0099163E" w:rsidP="0099163E">
            <w:pPr>
              <w:spacing w:before="225" w:after="225" w:line="408" w:lineRule="atLeast"/>
              <w:rPr>
                <w:rFonts w:ascii="Roboto" w:eastAsia="Times New Roman" w:hAnsi="Roboto" w:cs="Times New Roman"/>
                <w:color w:val="222222"/>
              </w:rPr>
            </w:pPr>
            <w:r w:rsidRPr="0099163E">
              <w:rPr>
                <w:rFonts w:ascii="Roboto" w:eastAsia="Times New Roman" w:hAnsi="Roboto" w:cs="Times New Roman"/>
                <w:color w:val="222222"/>
              </w:rPr>
              <w:t>A poster could also illustrate responding to an earlier thought, such as correcting a misconception, refuting an argument, revising a theory, and the like.</w:t>
            </w:r>
          </w:p>
        </w:tc>
        <w:tc>
          <w:tcPr>
            <w:tcW w:w="0" w:type="auto"/>
            <w:shd w:val="clear" w:color="auto" w:fill="FFFFFF"/>
            <w:tcMar>
              <w:top w:w="0" w:type="dxa"/>
              <w:left w:w="0" w:type="dxa"/>
              <w:bottom w:w="0" w:type="dxa"/>
              <w:right w:w="0" w:type="dxa"/>
            </w:tcMar>
            <w:vAlign w:val="center"/>
            <w:hideMark/>
          </w:tcPr>
          <w:p w14:paraId="69D8BA1F" w14:textId="3624AEAA" w:rsidR="0099163E" w:rsidRPr="0099163E" w:rsidRDefault="0099163E" w:rsidP="0099163E">
            <w:pPr>
              <w:rPr>
                <w:rFonts w:ascii="Roboto" w:eastAsia="Times New Roman" w:hAnsi="Roboto" w:cs="Times New Roman"/>
                <w:color w:val="222222"/>
              </w:rPr>
            </w:pPr>
            <w:r w:rsidRPr="0099163E">
              <w:rPr>
                <w:rFonts w:ascii="Roboto" w:eastAsia="Times New Roman" w:hAnsi="Roboto" w:cs="Times New Roman"/>
                <w:noProof/>
                <w:color w:val="006682"/>
              </w:rPr>
              <w:drawing>
                <wp:inline distT="0" distB="0" distL="0" distR="0" wp14:anchorId="52C8E4E5" wp14:editId="1E657ACC">
                  <wp:extent cx="2661920" cy="2042160"/>
                  <wp:effectExtent l="0" t="0" r="5080" b="2540"/>
                  <wp:docPr id="6" name="Picture 6">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61920" cy="2042160"/>
                          </a:xfrm>
                          <a:prstGeom prst="rect">
                            <a:avLst/>
                          </a:prstGeom>
                          <a:noFill/>
                          <a:ln>
                            <a:noFill/>
                          </a:ln>
                        </pic:spPr>
                      </pic:pic>
                    </a:graphicData>
                  </a:graphic>
                </wp:inline>
              </w:drawing>
            </w:r>
            <w:r w:rsidRPr="0099163E">
              <w:rPr>
                <w:rFonts w:ascii="Roboto" w:eastAsia="Times New Roman" w:hAnsi="Roboto" w:cs="Times New Roman"/>
                <w:color w:val="222222"/>
              </w:rPr>
              <w:t>Poster Responding to Previous Idea (Click to enlarge.)</w:t>
            </w:r>
          </w:p>
        </w:tc>
      </w:tr>
      <w:tr w:rsidR="0099163E" w:rsidRPr="0099163E" w14:paraId="135347DB" w14:textId="77777777" w:rsidTr="0099163E">
        <w:tc>
          <w:tcPr>
            <w:tcW w:w="0" w:type="auto"/>
            <w:shd w:val="clear" w:color="auto" w:fill="FFFFFF"/>
            <w:tcMar>
              <w:top w:w="0" w:type="dxa"/>
              <w:left w:w="0" w:type="dxa"/>
              <w:bottom w:w="0" w:type="dxa"/>
              <w:right w:w="0" w:type="dxa"/>
            </w:tcMar>
            <w:vAlign w:val="center"/>
            <w:hideMark/>
          </w:tcPr>
          <w:p w14:paraId="7050EF9C" w14:textId="77777777" w:rsidR="0099163E" w:rsidRPr="0099163E" w:rsidRDefault="0099163E" w:rsidP="0099163E">
            <w:pPr>
              <w:rPr>
                <w:rFonts w:ascii="Roboto" w:eastAsia="Times New Roman" w:hAnsi="Roboto" w:cs="Times New Roman"/>
                <w:color w:val="222222"/>
              </w:rPr>
            </w:pPr>
            <w:r w:rsidRPr="0099163E">
              <w:rPr>
                <w:rFonts w:ascii="Roboto" w:eastAsia="Times New Roman" w:hAnsi="Roboto" w:cs="Times New Roman"/>
                <w:color w:val="222222"/>
              </w:rPr>
              <w:t> </w:t>
            </w:r>
          </w:p>
          <w:p w14:paraId="6C051BE5" w14:textId="77777777" w:rsidR="0099163E" w:rsidRPr="0099163E" w:rsidRDefault="0099163E" w:rsidP="0099163E">
            <w:pPr>
              <w:spacing w:before="225" w:after="225" w:line="408" w:lineRule="atLeast"/>
              <w:rPr>
                <w:rFonts w:ascii="Roboto" w:eastAsia="Times New Roman" w:hAnsi="Roboto" w:cs="Times New Roman"/>
                <w:color w:val="222222"/>
              </w:rPr>
            </w:pPr>
            <w:r w:rsidRPr="0099163E">
              <w:rPr>
                <w:rFonts w:ascii="Roboto" w:eastAsia="Times New Roman" w:hAnsi="Roboto" w:cs="Times New Roman"/>
                <w:color w:val="222222"/>
              </w:rPr>
              <w:t> </w:t>
            </w:r>
          </w:p>
          <w:p w14:paraId="1B0C1382" w14:textId="77777777" w:rsidR="0099163E" w:rsidRPr="0099163E" w:rsidRDefault="0099163E" w:rsidP="0099163E">
            <w:pPr>
              <w:spacing w:before="225" w:after="225" w:line="408" w:lineRule="atLeast"/>
              <w:rPr>
                <w:rFonts w:ascii="Roboto" w:eastAsia="Times New Roman" w:hAnsi="Roboto" w:cs="Times New Roman"/>
                <w:color w:val="222222"/>
              </w:rPr>
            </w:pPr>
            <w:r w:rsidRPr="0099163E">
              <w:rPr>
                <w:rFonts w:ascii="Roboto" w:eastAsia="Times New Roman" w:hAnsi="Roboto" w:cs="Times New Roman"/>
                <w:color w:val="222222"/>
              </w:rPr>
              <w:t>Or a poster may graphically represent the thinking processes used to arrive at an interpretation or conclusion. Here is an example of an inductive analysis, interpretation, or argument.</w:t>
            </w:r>
          </w:p>
        </w:tc>
        <w:tc>
          <w:tcPr>
            <w:tcW w:w="0" w:type="auto"/>
            <w:shd w:val="clear" w:color="auto" w:fill="FFFFFF"/>
            <w:tcMar>
              <w:top w:w="0" w:type="dxa"/>
              <w:left w:w="0" w:type="dxa"/>
              <w:bottom w:w="0" w:type="dxa"/>
              <w:right w:w="0" w:type="dxa"/>
            </w:tcMar>
            <w:vAlign w:val="center"/>
            <w:hideMark/>
          </w:tcPr>
          <w:p w14:paraId="39552AAF" w14:textId="714E14F9" w:rsidR="0099163E" w:rsidRPr="0099163E" w:rsidRDefault="0099163E" w:rsidP="0099163E">
            <w:pPr>
              <w:rPr>
                <w:rFonts w:ascii="Roboto" w:eastAsia="Times New Roman" w:hAnsi="Roboto" w:cs="Times New Roman"/>
                <w:color w:val="222222"/>
              </w:rPr>
            </w:pPr>
            <w:r w:rsidRPr="0099163E">
              <w:rPr>
                <w:rFonts w:ascii="Roboto" w:eastAsia="Times New Roman" w:hAnsi="Roboto" w:cs="Times New Roman"/>
                <w:noProof/>
                <w:color w:val="006682"/>
              </w:rPr>
              <w:drawing>
                <wp:inline distT="0" distB="0" distL="0" distR="0" wp14:anchorId="00021357" wp14:editId="42C3EC53">
                  <wp:extent cx="2661920" cy="2042160"/>
                  <wp:effectExtent l="0" t="0" r="5080" b="2540"/>
                  <wp:docPr id="5" name="Picture 5">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61920" cy="2042160"/>
                          </a:xfrm>
                          <a:prstGeom prst="rect">
                            <a:avLst/>
                          </a:prstGeom>
                          <a:noFill/>
                          <a:ln>
                            <a:noFill/>
                          </a:ln>
                        </pic:spPr>
                      </pic:pic>
                    </a:graphicData>
                  </a:graphic>
                </wp:inline>
              </w:drawing>
            </w:r>
            <w:r w:rsidRPr="0099163E">
              <w:rPr>
                <w:rFonts w:ascii="Roboto" w:eastAsia="Times New Roman" w:hAnsi="Roboto" w:cs="Times New Roman"/>
                <w:color w:val="222222"/>
              </w:rPr>
              <w:t>Poster Displaying Inductive Analysis or Argument (Click to enlarge.)</w:t>
            </w:r>
          </w:p>
        </w:tc>
      </w:tr>
      <w:tr w:rsidR="0099163E" w:rsidRPr="0099163E" w14:paraId="16C2A3A5" w14:textId="77777777" w:rsidTr="0099163E">
        <w:tc>
          <w:tcPr>
            <w:tcW w:w="0" w:type="auto"/>
            <w:shd w:val="clear" w:color="auto" w:fill="FFFFFF"/>
            <w:tcMar>
              <w:top w:w="0" w:type="dxa"/>
              <w:left w:w="0" w:type="dxa"/>
              <w:bottom w:w="0" w:type="dxa"/>
              <w:right w:w="0" w:type="dxa"/>
            </w:tcMar>
            <w:vAlign w:val="center"/>
            <w:hideMark/>
          </w:tcPr>
          <w:p w14:paraId="7CF84C96" w14:textId="77777777" w:rsidR="0099163E" w:rsidRPr="0099163E" w:rsidRDefault="0099163E" w:rsidP="0099163E">
            <w:pPr>
              <w:rPr>
                <w:rFonts w:ascii="Roboto" w:eastAsia="Times New Roman" w:hAnsi="Roboto" w:cs="Times New Roman"/>
                <w:color w:val="222222"/>
              </w:rPr>
            </w:pPr>
            <w:r w:rsidRPr="0099163E">
              <w:rPr>
                <w:rFonts w:ascii="Roboto" w:eastAsia="Times New Roman" w:hAnsi="Roboto" w:cs="Times New Roman"/>
                <w:color w:val="222222"/>
              </w:rPr>
              <w:t> </w:t>
            </w:r>
          </w:p>
          <w:p w14:paraId="5C9F00E4" w14:textId="77777777" w:rsidR="0099163E" w:rsidRPr="0099163E" w:rsidRDefault="0099163E" w:rsidP="0099163E">
            <w:pPr>
              <w:spacing w:before="225" w:after="225" w:line="408" w:lineRule="atLeast"/>
              <w:rPr>
                <w:rFonts w:ascii="Roboto" w:eastAsia="Times New Roman" w:hAnsi="Roboto" w:cs="Times New Roman"/>
                <w:color w:val="222222"/>
              </w:rPr>
            </w:pPr>
            <w:r w:rsidRPr="0099163E">
              <w:rPr>
                <w:rFonts w:ascii="Roboto" w:eastAsia="Times New Roman" w:hAnsi="Roboto" w:cs="Times New Roman"/>
                <w:color w:val="222222"/>
              </w:rPr>
              <w:t> </w:t>
            </w:r>
          </w:p>
          <w:p w14:paraId="5AF201F8" w14:textId="77777777" w:rsidR="0099163E" w:rsidRPr="0099163E" w:rsidRDefault="0099163E" w:rsidP="0099163E">
            <w:pPr>
              <w:spacing w:before="225" w:after="225" w:line="408" w:lineRule="atLeast"/>
              <w:rPr>
                <w:rFonts w:ascii="Roboto" w:eastAsia="Times New Roman" w:hAnsi="Roboto" w:cs="Times New Roman"/>
                <w:color w:val="222222"/>
              </w:rPr>
            </w:pPr>
            <w:r w:rsidRPr="0099163E">
              <w:rPr>
                <w:rFonts w:ascii="Roboto" w:eastAsia="Times New Roman" w:hAnsi="Roboto" w:cs="Times New Roman"/>
                <w:color w:val="222222"/>
              </w:rPr>
              <w:t>Posters can also effectively represent the common humanities move of offering a new way of thinking about a time period, text, idea, person, etc., often framed as filling in a gap in earlier explanations.</w:t>
            </w:r>
          </w:p>
          <w:p w14:paraId="11426A74" w14:textId="77777777" w:rsidR="0099163E" w:rsidRPr="0099163E" w:rsidRDefault="0099163E" w:rsidP="0099163E">
            <w:pPr>
              <w:spacing w:before="225" w:after="225" w:line="408" w:lineRule="atLeast"/>
              <w:rPr>
                <w:rFonts w:ascii="Roboto" w:eastAsia="Times New Roman" w:hAnsi="Roboto" w:cs="Times New Roman"/>
                <w:color w:val="222222"/>
              </w:rPr>
            </w:pPr>
            <w:r w:rsidRPr="0099163E">
              <w:rPr>
                <w:rFonts w:ascii="Roboto" w:eastAsia="Times New Roman" w:hAnsi="Roboto" w:cs="Times New Roman"/>
                <w:i/>
                <w:iCs/>
                <w:color w:val="222222"/>
              </w:rPr>
              <w:t>CFT Graduate Teaching Fellow Jessica Riviere (German) developed this model and the next while preparing for a conference.</w:t>
            </w:r>
          </w:p>
        </w:tc>
        <w:tc>
          <w:tcPr>
            <w:tcW w:w="0" w:type="auto"/>
            <w:shd w:val="clear" w:color="auto" w:fill="FFFFFF"/>
            <w:tcMar>
              <w:top w:w="0" w:type="dxa"/>
              <w:left w:w="0" w:type="dxa"/>
              <w:bottom w:w="0" w:type="dxa"/>
              <w:right w:w="0" w:type="dxa"/>
            </w:tcMar>
            <w:vAlign w:val="center"/>
            <w:hideMark/>
          </w:tcPr>
          <w:p w14:paraId="3BFA9212" w14:textId="0E5FCA2E" w:rsidR="0099163E" w:rsidRPr="0099163E" w:rsidRDefault="0099163E" w:rsidP="0099163E">
            <w:pPr>
              <w:rPr>
                <w:rFonts w:ascii="Roboto" w:eastAsia="Times New Roman" w:hAnsi="Roboto" w:cs="Times New Roman"/>
                <w:color w:val="222222"/>
              </w:rPr>
            </w:pPr>
            <w:r w:rsidRPr="0099163E">
              <w:rPr>
                <w:rFonts w:ascii="Roboto" w:eastAsia="Times New Roman" w:hAnsi="Roboto" w:cs="Times New Roman"/>
                <w:noProof/>
                <w:color w:val="006682"/>
              </w:rPr>
              <w:drawing>
                <wp:inline distT="0" distB="0" distL="0" distR="0" wp14:anchorId="6AACA487" wp14:editId="656FD589">
                  <wp:extent cx="2661920" cy="2042160"/>
                  <wp:effectExtent l="0" t="0" r="5080" b="2540"/>
                  <wp:docPr id="4" name="Picture 4">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61920" cy="2042160"/>
                          </a:xfrm>
                          <a:prstGeom prst="rect">
                            <a:avLst/>
                          </a:prstGeom>
                          <a:noFill/>
                          <a:ln>
                            <a:noFill/>
                          </a:ln>
                        </pic:spPr>
                      </pic:pic>
                    </a:graphicData>
                  </a:graphic>
                </wp:inline>
              </w:drawing>
            </w:r>
            <w:r w:rsidRPr="0099163E">
              <w:rPr>
                <w:rFonts w:ascii="Roboto" w:eastAsia="Times New Roman" w:hAnsi="Roboto" w:cs="Times New Roman"/>
                <w:color w:val="222222"/>
              </w:rPr>
              <w:t>Poster Filling in Gaps (Click to enlarge.)</w:t>
            </w:r>
          </w:p>
        </w:tc>
      </w:tr>
      <w:tr w:rsidR="0099163E" w:rsidRPr="0099163E" w14:paraId="3B92AB3F" w14:textId="77777777" w:rsidTr="0099163E">
        <w:tc>
          <w:tcPr>
            <w:tcW w:w="0" w:type="auto"/>
            <w:shd w:val="clear" w:color="auto" w:fill="FFFFFF"/>
            <w:tcMar>
              <w:top w:w="0" w:type="dxa"/>
              <w:left w:w="0" w:type="dxa"/>
              <w:bottom w:w="0" w:type="dxa"/>
              <w:right w:w="0" w:type="dxa"/>
            </w:tcMar>
            <w:vAlign w:val="center"/>
            <w:hideMark/>
          </w:tcPr>
          <w:p w14:paraId="440CA205" w14:textId="77777777" w:rsidR="0099163E" w:rsidRPr="0099163E" w:rsidRDefault="0099163E" w:rsidP="0099163E">
            <w:pPr>
              <w:rPr>
                <w:rFonts w:ascii="Roboto" w:eastAsia="Times New Roman" w:hAnsi="Roboto" w:cs="Times New Roman"/>
                <w:color w:val="222222"/>
              </w:rPr>
            </w:pPr>
            <w:r w:rsidRPr="0099163E">
              <w:rPr>
                <w:rFonts w:ascii="Roboto" w:eastAsia="Times New Roman" w:hAnsi="Roboto" w:cs="Times New Roman"/>
                <w:color w:val="222222"/>
              </w:rPr>
              <w:lastRenderedPageBreak/>
              <w:t> </w:t>
            </w:r>
          </w:p>
          <w:p w14:paraId="33B072AF" w14:textId="77777777" w:rsidR="0099163E" w:rsidRPr="0099163E" w:rsidRDefault="0099163E" w:rsidP="0099163E">
            <w:pPr>
              <w:spacing w:before="225" w:after="225" w:line="408" w:lineRule="atLeast"/>
              <w:rPr>
                <w:rFonts w:ascii="Roboto" w:eastAsia="Times New Roman" w:hAnsi="Roboto" w:cs="Times New Roman"/>
                <w:color w:val="222222"/>
              </w:rPr>
            </w:pPr>
            <w:r w:rsidRPr="0099163E">
              <w:rPr>
                <w:rFonts w:ascii="Roboto" w:eastAsia="Times New Roman" w:hAnsi="Roboto" w:cs="Times New Roman"/>
                <w:color w:val="222222"/>
              </w:rPr>
              <w:t> </w:t>
            </w:r>
          </w:p>
          <w:p w14:paraId="132C6763" w14:textId="77777777" w:rsidR="0099163E" w:rsidRPr="0099163E" w:rsidRDefault="0099163E" w:rsidP="0099163E">
            <w:pPr>
              <w:spacing w:before="225" w:after="225" w:line="408" w:lineRule="atLeast"/>
              <w:rPr>
                <w:rFonts w:ascii="Roboto" w:eastAsia="Times New Roman" w:hAnsi="Roboto" w:cs="Times New Roman"/>
                <w:color w:val="222222"/>
              </w:rPr>
            </w:pPr>
            <w:r w:rsidRPr="0099163E">
              <w:rPr>
                <w:rFonts w:ascii="Roboto" w:eastAsia="Times New Roman" w:hAnsi="Roboto" w:cs="Times New Roman"/>
                <w:color w:val="222222"/>
              </w:rPr>
              <w:t>Posters can also make clear the move of proposing new ideas that lie at the intersection of others. This common thinking process of synthesis lends itself to Venn diagrams.</w:t>
            </w:r>
          </w:p>
        </w:tc>
        <w:tc>
          <w:tcPr>
            <w:tcW w:w="0" w:type="auto"/>
            <w:shd w:val="clear" w:color="auto" w:fill="FFFFFF"/>
            <w:tcMar>
              <w:top w:w="0" w:type="dxa"/>
              <w:left w:w="0" w:type="dxa"/>
              <w:bottom w:w="0" w:type="dxa"/>
              <w:right w:w="0" w:type="dxa"/>
            </w:tcMar>
            <w:vAlign w:val="center"/>
            <w:hideMark/>
          </w:tcPr>
          <w:p w14:paraId="29870334" w14:textId="12015F51" w:rsidR="0099163E" w:rsidRPr="0099163E" w:rsidRDefault="0099163E" w:rsidP="0099163E">
            <w:pPr>
              <w:rPr>
                <w:rFonts w:ascii="Roboto" w:eastAsia="Times New Roman" w:hAnsi="Roboto" w:cs="Times New Roman"/>
                <w:color w:val="222222"/>
              </w:rPr>
            </w:pPr>
            <w:r w:rsidRPr="0099163E">
              <w:rPr>
                <w:rFonts w:ascii="Roboto" w:eastAsia="Times New Roman" w:hAnsi="Roboto" w:cs="Times New Roman"/>
                <w:noProof/>
                <w:color w:val="006682"/>
              </w:rPr>
              <w:drawing>
                <wp:inline distT="0" distB="0" distL="0" distR="0" wp14:anchorId="7C30CA86" wp14:editId="12B7032C">
                  <wp:extent cx="2661920" cy="2042160"/>
                  <wp:effectExtent l="0" t="0" r="5080" b="2540"/>
                  <wp:docPr id="3" name="Picture 3">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1920" cy="2042160"/>
                          </a:xfrm>
                          <a:prstGeom prst="rect">
                            <a:avLst/>
                          </a:prstGeom>
                          <a:noFill/>
                          <a:ln>
                            <a:noFill/>
                          </a:ln>
                        </pic:spPr>
                      </pic:pic>
                    </a:graphicData>
                  </a:graphic>
                </wp:inline>
              </w:drawing>
            </w:r>
            <w:r w:rsidRPr="0099163E">
              <w:rPr>
                <w:rFonts w:ascii="Roboto" w:eastAsia="Times New Roman" w:hAnsi="Roboto" w:cs="Times New Roman"/>
                <w:color w:val="222222"/>
              </w:rPr>
              <w:t>Poster Displaying Synthesis (Click to enlarge.)</w:t>
            </w:r>
          </w:p>
        </w:tc>
      </w:tr>
      <w:tr w:rsidR="0099163E" w:rsidRPr="0099163E" w14:paraId="53F56D67" w14:textId="77777777" w:rsidTr="0099163E">
        <w:tc>
          <w:tcPr>
            <w:tcW w:w="0" w:type="auto"/>
            <w:shd w:val="clear" w:color="auto" w:fill="FFFFFF"/>
            <w:tcMar>
              <w:top w:w="0" w:type="dxa"/>
              <w:left w:w="0" w:type="dxa"/>
              <w:bottom w:w="0" w:type="dxa"/>
              <w:right w:w="0" w:type="dxa"/>
            </w:tcMar>
            <w:vAlign w:val="center"/>
            <w:hideMark/>
          </w:tcPr>
          <w:p w14:paraId="04C06310" w14:textId="77777777" w:rsidR="0099163E" w:rsidRPr="0099163E" w:rsidRDefault="0099163E" w:rsidP="0099163E">
            <w:pPr>
              <w:rPr>
                <w:rFonts w:ascii="Roboto" w:eastAsia="Times New Roman" w:hAnsi="Roboto" w:cs="Times New Roman"/>
                <w:color w:val="222222"/>
              </w:rPr>
            </w:pPr>
            <w:r w:rsidRPr="0099163E">
              <w:rPr>
                <w:rFonts w:ascii="Roboto" w:eastAsia="Times New Roman" w:hAnsi="Roboto" w:cs="Times New Roman"/>
                <w:color w:val="222222"/>
              </w:rPr>
              <w:t> </w:t>
            </w:r>
          </w:p>
          <w:p w14:paraId="63A501C0" w14:textId="77777777" w:rsidR="0099163E" w:rsidRPr="0099163E" w:rsidRDefault="0099163E" w:rsidP="0099163E">
            <w:pPr>
              <w:spacing w:before="225" w:after="225" w:line="408" w:lineRule="atLeast"/>
              <w:rPr>
                <w:rFonts w:ascii="Roboto" w:eastAsia="Times New Roman" w:hAnsi="Roboto" w:cs="Times New Roman"/>
                <w:color w:val="222222"/>
              </w:rPr>
            </w:pPr>
            <w:r w:rsidRPr="0099163E">
              <w:rPr>
                <w:rFonts w:ascii="Roboto" w:eastAsia="Times New Roman" w:hAnsi="Roboto" w:cs="Times New Roman"/>
                <w:color w:val="222222"/>
              </w:rPr>
              <w:t> </w:t>
            </w:r>
          </w:p>
          <w:p w14:paraId="4C4111A5" w14:textId="77777777" w:rsidR="0099163E" w:rsidRPr="0099163E" w:rsidRDefault="0099163E" w:rsidP="0099163E">
            <w:pPr>
              <w:spacing w:before="225" w:after="225" w:line="408" w:lineRule="atLeast"/>
              <w:rPr>
                <w:rFonts w:ascii="Roboto" w:eastAsia="Times New Roman" w:hAnsi="Roboto" w:cs="Times New Roman"/>
                <w:color w:val="222222"/>
              </w:rPr>
            </w:pPr>
            <w:r w:rsidRPr="0099163E">
              <w:rPr>
                <w:rFonts w:ascii="Roboto" w:eastAsia="Times New Roman" w:hAnsi="Roboto" w:cs="Times New Roman"/>
                <w:color w:val="222222"/>
              </w:rPr>
              <w:t> </w:t>
            </w:r>
          </w:p>
          <w:p w14:paraId="774EBA2F" w14:textId="77777777" w:rsidR="0099163E" w:rsidRPr="0099163E" w:rsidRDefault="0099163E" w:rsidP="0099163E">
            <w:pPr>
              <w:spacing w:before="225" w:after="225" w:line="408" w:lineRule="atLeast"/>
              <w:rPr>
                <w:rFonts w:ascii="Roboto" w:eastAsia="Times New Roman" w:hAnsi="Roboto" w:cs="Times New Roman"/>
                <w:color w:val="222222"/>
              </w:rPr>
            </w:pPr>
            <w:r w:rsidRPr="0099163E">
              <w:rPr>
                <w:rFonts w:ascii="Roboto" w:eastAsia="Times New Roman" w:hAnsi="Roboto" w:cs="Times New Roman"/>
                <w:color w:val="222222"/>
              </w:rPr>
              <w:t>Finally, a poster may also represent the narrative of a project, such as an analysis of a novel, a chronology of interactions, or a conversation between theorists or even between hypothetical figures of different eras–anything that might be told in narrative form, along with an overarching analysis.</w:t>
            </w:r>
          </w:p>
        </w:tc>
        <w:tc>
          <w:tcPr>
            <w:tcW w:w="0" w:type="auto"/>
            <w:shd w:val="clear" w:color="auto" w:fill="FFFFFF"/>
            <w:tcMar>
              <w:top w:w="0" w:type="dxa"/>
              <w:left w:w="0" w:type="dxa"/>
              <w:bottom w:w="0" w:type="dxa"/>
              <w:right w:w="0" w:type="dxa"/>
            </w:tcMar>
            <w:vAlign w:val="center"/>
            <w:hideMark/>
          </w:tcPr>
          <w:p w14:paraId="224995B6" w14:textId="77777777" w:rsidR="0099163E" w:rsidRPr="0099163E" w:rsidRDefault="0099163E" w:rsidP="0099163E">
            <w:pPr>
              <w:rPr>
                <w:rFonts w:ascii="Roboto" w:eastAsia="Times New Roman" w:hAnsi="Roboto" w:cs="Times New Roman"/>
                <w:color w:val="222222"/>
              </w:rPr>
            </w:pPr>
            <w:r w:rsidRPr="0099163E">
              <w:rPr>
                <w:rFonts w:ascii="Roboto" w:eastAsia="Times New Roman" w:hAnsi="Roboto" w:cs="Times New Roman"/>
                <w:color w:val="222222"/>
              </w:rPr>
              <w:t> </w:t>
            </w:r>
          </w:p>
          <w:p w14:paraId="7C012BAC" w14:textId="38CB62AF" w:rsidR="0099163E" w:rsidRPr="0099163E" w:rsidRDefault="0099163E" w:rsidP="0099163E">
            <w:pPr>
              <w:rPr>
                <w:rFonts w:ascii="Roboto" w:eastAsia="Times New Roman" w:hAnsi="Roboto" w:cs="Times New Roman"/>
                <w:color w:val="222222"/>
              </w:rPr>
            </w:pPr>
            <w:r w:rsidRPr="0099163E">
              <w:rPr>
                <w:rFonts w:ascii="Roboto" w:eastAsia="Times New Roman" w:hAnsi="Roboto" w:cs="Times New Roman"/>
                <w:noProof/>
                <w:color w:val="006682"/>
              </w:rPr>
              <w:drawing>
                <wp:inline distT="0" distB="0" distL="0" distR="0" wp14:anchorId="76D66B91" wp14:editId="2F10F673">
                  <wp:extent cx="2661920" cy="2042160"/>
                  <wp:effectExtent l="0" t="0" r="5080" b="2540"/>
                  <wp:docPr id="2" name="Picture 2">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61920" cy="2042160"/>
                          </a:xfrm>
                          <a:prstGeom prst="rect">
                            <a:avLst/>
                          </a:prstGeom>
                          <a:noFill/>
                          <a:ln>
                            <a:noFill/>
                          </a:ln>
                        </pic:spPr>
                      </pic:pic>
                    </a:graphicData>
                  </a:graphic>
                </wp:inline>
              </w:drawing>
            </w:r>
            <w:r w:rsidRPr="0099163E">
              <w:rPr>
                <w:rFonts w:ascii="Roboto" w:eastAsia="Times New Roman" w:hAnsi="Roboto" w:cs="Times New Roman"/>
                <w:color w:val="222222"/>
              </w:rPr>
              <w:t>Poster Showing Narrative or Conversation (Click to enlarge.)</w:t>
            </w:r>
          </w:p>
        </w:tc>
      </w:tr>
    </w:tbl>
    <w:p w14:paraId="0972F571" w14:textId="77777777" w:rsidR="0099163E" w:rsidRPr="0099163E" w:rsidRDefault="0099163E" w:rsidP="0099163E">
      <w:pPr>
        <w:shd w:val="clear" w:color="auto" w:fill="FFFFFF"/>
        <w:spacing w:before="225" w:after="225" w:line="408" w:lineRule="atLeast"/>
        <w:rPr>
          <w:rFonts w:ascii="Roboto" w:eastAsia="Times New Roman" w:hAnsi="Roboto" w:cs="Times New Roman"/>
          <w:color w:val="222222"/>
        </w:rPr>
      </w:pPr>
      <w:r w:rsidRPr="0099163E">
        <w:rPr>
          <w:rFonts w:ascii="Roboto" w:eastAsia="Times New Roman" w:hAnsi="Roboto" w:cs="Times New Roman"/>
          <w:b/>
          <w:bCs/>
          <w:i/>
          <w:iCs/>
          <w:color w:val="222222"/>
        </w:rPr>
        <w:t>Resources</w:t>
      </w:r>
    </w:p>
    <w:p w14:paraId="1A3EAE8B" w14:textId="77777777" w:rsidR="0099163E" w:rsidRPr="0099163E" w:rsidRDefault="0099163E" w:rsidP="0099163E">
      <w:pPr>
        <w:numPr>
          <w:ilvl w:val="0"/>
          <w:numId w:val="7"/>
        </w:numPr>
        <w:shd w:val="clear" w:color="auto" w:fill="FFFFFF"/>
        <w:spacing w:before="100" w:beforeAutospacing="1" w:after="100" w:afterAutospacing="1" w:line="408" w:lineRule="atLeast"/>
        <w:rPr>
          <w:rFonts w:ascii="Roboto" w:eastAsia="Times New Roman" w:hAnsi="Roboto" w:cs="Times New Roman"/>
          <w:color w:val="222222"/>
        </w:rPr>
      </w:pPr>
      <w:r w:rsidRPr="0099163E">
        <w:rPr>
          <w:rFonts w:ascii="Roboto" w:eastAsia="Times New Roman" w:hAnsi="Roboto" w:cs="Times New Roman"/>
          <w:color w:val="222222"/>
        </w:rPr>
        <w:t>“</w:t>
      </w:r>
      <w:hyperlink r:id="rId31" w:tgtFrame="_blank" w:history="1">
        <w:r w:rsidRPr="0099163E">
          <w:rPr>
            <w:rFonts w:ascii="Roboto" w:eastAsia="Times New Roman" w:hAnsi="Roboto" w:cs="Times New Roman"/>
            <w:color w:val="006682"/>
            <w:u w:val="single"/>
          </w:rPr>
          <w:t>Rethinking the Design of Presentation Slides: The Assertion-Evidence Structure</w:t>
        </w:r>
      </w:hyperlink>
      <w:r w:rsidRPr="0099163E">
        <w:rPr>
          <w:rFonts w:ascii="Roboto" w:eastAsia="Times New Roman" w:hAnsi="Roboto" w:cs="Times New Roman"/>
          <w:color w:val="222222"/>
        </w:rPr>
        <w:t>” similarly re-envisions what slides can do for engineers and scientists. (The rhetorical move of making an assertion and supporting it with evidence is of course used in the humanities as well.) The focus of that work is PowerPoint slides for presentations, but the framework can be applied to a single slide for a poster by stating the assertion and then illustrating it with visual images (or text boxes).</w:t>
      </w:r>
    </w:p>
    <w:p w14:paraId="71BAD0B4" w14:textId="77777777" w:rsidR="0099163E" w:rsidRPr="0099163E" w:rsidRDefault="0099163E" w:rsidP="0099163E">
      <w:pPr>
        <w:numPr>
          <w:ilvl w:val="0"/>
          <w:numId w:val="7"/>
        </w:numPr>
        <w:shd w:val="clear" w:color="auto" w:fill="FFFFFF"/>
        <w:spacing w:before="100" w:beforeAutospacing="1" w:after="100" w:afterAutospacing="1" w:line="408" w:lineRule="atLeast"/>
        <w:rPr>
          <w:rFonts w:ascii="Roboto" w:eastAsia="Times New Roman" w:hAnsi="Roboto" w:cs="Times New Roman"/>
          <w:color w:val="222222"/>
        </w:rPr>
      </w:pPr>
      <w:r w:rsidRPr="0099163E">
        <w:rPr>
          <w:rFonts w:ascii="Roboto" w:eastAsia="Times New Roman" w:hAnsi="Roboto" w:cs="Times New Roman"/>
          <w:color w:val="222222"/>
        </w:rPr>
        <w:lastRenderedPageBreak/>
        <w:t>The infographic on Maria Popova’s “</w:t>
      </w:r>
      <w:hyperlink r:id="rId32" w:tgtFrame="_blank" w:history="1">
        <w:r w:rsidRPr="0099163E">
          <w:rPr>
            <w:rFonts w:ascii="Roboto" w:eastAsia="Times New Roman" w:hAnsi="Roboto" w:cs="Times New Roman"/>
            <w:color w:val="006682"/>
            <w:u w:val="single"/>
          </w:rPr>
          <w:t>The Lives of 10 Famous Painters, Visualized as Minimalist Infographic Biographies</w:t>
        </w:r>
      </w:hyperlink>
      <w:r w:rsidRPr="0099163E">
        <w:rPr>
          <w:rFonts w:ascii="Roboto" w:eastAsia="Times New Roman" w:hAnsi="Roboto" w:cs="Times New Roman"/>
          <w:color w:val="222222"/>
        </w:rPr>
        <w:t>” illustrates additional possibilities, although they’re made with more sophisticated software than PowerPoint. Using them as examples, though, will inspire some students to go further than the simpler models described above.</w:t>
      </w:r>
    </w:p>
    <w:p w14:paraId="26E56ACD" w14:textId="77777777" w:rsidR="0099163E" w:rsidRPr="0099163E" w:rsidRDefault="0099163E" w:rsidP="0099163E">
      <w:pPr>
        <w:numPr>
          <w:ilvl w:val="0"/>
          <w:numId w:val="7"/>
        </w:numPr>
        <w:shd w:val="clear" w:color="auto" w:fill="FFFFFF"/>
        <w:spacing w:before="100" w:beforeAutospacing="1" w:after="100" w:afterAutospacing="1" w:line="408" w:lineRule="atLeast"/>
        <w:rPr>
          <w:rFonts w:ascii="Roboto" w:eastAsia="Times New Roman" w:hAnsi="Roboto" w:cs="Times New Roman"/>
          <w:color w:val="222222"/>
        </w:rPr>
      </w:pPr>
      <w:r w:rsidRPr="0099163E">
        <w:rPr>
          <w:rFonts w:ascii="Roboto" w:eastAsia="Times New Roman" w:hAnsi="Roboto" w:cs="Times New Roman"/>
          <w:color w:val="222222"/>
        </w:rPr>
        <w:t>There are plenty of websites with step-by-step instructions on how to make academic posters using the traditional scientific poster model. (Simply Google “academic posters.”) For our purposes, though, most of their instructions don’t apply–except for their useful explanations for using </w:t>
      </w:r>
      <w:hyperlink r:id="rId33" w:tgtFrame="_blank" w:history="1">
        <w:r w:rsidRPr="0099163E">
          <w:rPr>
            <w:rFonts w:ascii="Roboto" w:eastAsia="Times New Roman" w:hAnsi="Roboto" w:cs="Times New Roman"/>
            <w:color w:val="006682"/>
            <w:u w:val="single"/>
          </w:rPr>
          <w:t>PowerPoint</w:t>
        </w:r>
      </w:hyperlink>
      <w:r w:rsidRPr="0099163E">
        <w:rPr>
          <w:rFonts w:ascii="Roboto" w:eastAsia="Times New Roman" w:hAnsi="Roboto" w:cs="Times New Roman"/>
          <w:color w:val="222222"/>
        </w:rPr>
        <w:t>.</w:t>
      </w:r>
    </w:p>
    <w:p w14:paraId="4A3EF30B" w14:textId="77777777" w:rsidR="0099163E" w:rsidRPr="0099163E" w:rsidRDefault="0099163E" w:rsidP="0099163E">
      <w:pPr>
        <w:shd w:val="clear" w:color="auto" w:fill="FFFFFF"/>
        <w:spacing w:before="225" w:after="225" w:line="408" w:lineRule="atLeast"/>
        <w:rPr>
          <w:rFonts w:ascii="Roboto" w:eastAsia="Times New Roman" w:hAnsi="Roboto" w:cs="Times New Roman"/>
          <w:color w:val="222222"/>
        </w:rPr>
      </w:pPr>
      <w:r w:rsidRPr="0099163E">
        <w:rPr>
          <w:rFonts w:ascii="Roboto" w:eastAsia="Times New Roman" w:hAnsi="Roboto" w:cs="Times New Roman"/>
          <w:color w:val="222222"/>
        </w:rPr>
        <w:t> </w:t>
      </w:r>
    </w:p>
    <w:tbl>
      <w:tblPr>
        <w:tblW w:w="1131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93"/>
        <w:gridCol w:w="21"/>
        <w:gridCol w:w="4387"/>
        <w:gridCol w:w="21"/>
        <w:gridCol w:w="4988"/>
      </w:tblGrid>
      <w:tr w:rsidR="0099163E" w:rsidRPr="0099163E" w14:paraId="055C0FB0" w14:textId="77777777" w:rsidTr="0099163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450" w:type="dxa"/>
              <w:bottom w:w="0" w:type="dxa"/>
              <w:right w:w="0" w:type="dxa"/>
            </w:tcMar>
            <w:vAlign w:val="center"/>
            <w:hideMark/>
          </w:tcPr>
          <w:p w14:paraId="6BFECC27" w14:textId="77777777" w:rsidR="0099163E" w:rsidRPr="0099163E" w:rsidRDefault="005D58E1" w:rsidP="0099163E">
            <w:pPr>
              <w:rPr>
                <w:rFonts w:ascii="Roboto" w:eastAsia="Times New Roman" w:hAnsi="Roboto" w:cs="Times New Roman"/>
                <w:color w:val="222222"/>
              </w:rPr>
            </w:pPr>
            <w:hyperlink r:id="rId34" w:tooltip="Beyond the Essay: Making Student Thinking Visible in the Humanities" w:history="1">
              <w:r w:rsidR="0099163E" w:rsidRPr="0099163E">
                <w:rPr>
                  <w:rFonts w:ascii="Roboto" w:eastAsia="Times New Roman" w:hAnsi="Roboto" w:cs="Times New Roman"/>
                  <w:b/>
                  <w:bCs/>
                  <w:color w:val="006682"/>
                </w:rPr>
                <w:t>Introduction</w:t>
              </w:r>
            </w:hyperlink>
            <w:r w:rsidR="0099163E" w:rsidRPr="0099163E">
              <w:rPr>
                <w:rFonts w:ascii="Roboto" w:eastAsia="Times New Roman" w:hAnsi="Roboto" w:cs="Times New Roman"/>
                <w:b/>
                <w:bCs/>
                <w:color w:val="2222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8EAE83C" w14:textId="77777777" w:rsidR="0099163E" w:rsidRPr="0099163E" w:rsidRDefault="0099163E" w:rsidP="0099163E">
            <w:pPr>
              <w:rPr>
                <w:rFonts w:ascii="Roboto" w:eastAsia="Times New Roman" w:hAnsi="Roboto" w:cs="Times New Roman"/>
                <w:color w:val="222222"/>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450" w:type="dxa"/>
              <w:bottom w:w="0" w:type="dxa"/>
              <w:right w:w="0" w:type="dxa"/>
            </w:tcMar>
            <w:vAlign w:val="center"/>
            <w:hideMark/>
          </w:tcPr>
          <w:p w14:paraId="56DC0735" w14:textId="77777777" w:rsidR="0099163E" w:rsidRPr="0099163E" w:rsidRDefault="005D58E1" w:rsidP="0099163E">
            <w:pPr>
              <w:rPr>
                <w:rFonts w:ascii="Roboto" w:eastAsia="Times New Roman" w:hAnsi="Roboto" w:cs="Times New Roman"/>
                <w:color w:val="222222"/>
              </w:rPr>
            </w:pPr>
            <w:hyperlink r:id="rId35" w:tooltip="Beyond the Essay, II" w:history="1">
              <w:r w:rsidR="0099163E" w:rsidRPr="0099163E">
                <w:rPr>
                  <w:rFonts w:ascii="Roboto" w:eastAsia="Times New Roman" w:hAnsi="Roboto" w:cs="Times New Roman"/>
                  <w:b/>
                  <w:bCs/>
                  <w:color w:val="006682"/>
                </w:rPr>
                <w:t>Formative Activities: Snapshots of Learning in Progress</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20D6C0C" w14:textId="77777777" w:rsidR="0099163E" w:rsidRPr="0099163E" w:rsidRDefault="0099163E" w:rsidP="0099163E">
            <w:pPr>
              <w:rPr>
                <w:rFonts w:ascii="Roboto" w:eastAsia="Times New Roman" w:hAnsi="Roboto" w:cs="Times New Roman"/>
                <w:color w:val="222222"/>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450" w:type="dxa"/>
              <w:bottom w:w="0" w:type="dxa"/>
              <w:right w:w="0" w:type="dxa"/>
            </w:tcMar>
            <w:vAlign w:val="center"/>
            <w:hideMark/>
          </w:tcPr>
          <w:p w14:paraId="67F6E27F" w14:textId="77777777" w:rsidR="0099163E" w:rsidRPr="0099163E" w:rsidRDefault="0099163E" w:rsidP="0099163E">
            <w:pPr>
              <w:rPr>
                <w:rFonts w:ascii="Roboto" w:eastAsia="Times New Roman" w:hAnsi="Roboto" w:cs="Times New Roman"/>
                <w:color w:val="222222"/>
              </w:rPr>
            </w:pPr>
            <w:r w:rsidRPr="0099163E">
              <w:rPr>
                <w:rFonts w:ascii="Roboto" w:eastAsia="Times New Roman" w:hAnsi="Roboto" w:cs="Times New Roman"/>
                <w:b/>
                <w:bCs/>
                <w:color w:val="222222"/>
              </w:rPr>
              <w:t>Summative Assignments: Authentic Alternatives to the Essay</w:t>
            </w:r>
          </w:p>
        </w:tc>
      </w:tr>
      <w:tr w:rsidR="0099163E" w:rsidRPr="0099163E" w14:paraId="39B1F5C8" w14:textId="77777777" w:rsidTr="0099163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7D2757B" w14:textId="77777777" w:rsidR="0099163E" w:rsidRPr="0099163E" w:rsidRDefault="0099163E" w:rsidP="0099163E">
            <w:pPr>
              <w:rPr>
                <w:rFonts w:ascii="Roboto" w:eastAsia="Times New Roman" w:hAnsi="Roboto" w:cs="Times New Roman"/>
                <w:color w:val="222222"/>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FF1BF69" w14:textId="77777777" w:rsidR="0099163E" w:rsidRPr="0099163E" w:rsidRDefault="0099163E" w:rsidP="0099163E">
            <w:pPr>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848DCD0" w14:textId="77777777" w:rsidR="0099163E" w:rsidRPr="0099163E" w:rsidRDefault="0099163E" w:rsidP="0099163E">
            <w:pPr>
              <w:numPr>
                <w:ilvl w:val="0"/>
                <w:numId w:val="8"/>
              </w:numPr>
              <w:spacing w:before="100" w:beforeAutospacing="1" w:after="100" w:afterAutospacing="1" w:line="408" w:lineRule="atLeast"/>
              <w:rPr>
                <w:rFonts w:ascii="Roboto" w:eastAsia="Times New Roman" w:hAnsi="Roboto" w:cs="Times New Roman"/>
                <w:color w:val="222222"/>
              </w:rPr>
            </w:pPr>
            <w:r w:rsidRPr="0099163E">
              <w:rPr>
                <w:rFonts w:ascii="Roboto" w:eastAsia="Times New Roman" w:hAnsi="Roboto" w:cs="Times New Roman"/>
                <w:color w:val="222222"/>
              </w:rPr>
              <w:t>Concept Maps &amp; Word Webs</w:t>
            </w:r>
          </w:p>
          <w:p w14:paraId="3E4BDDD8" w14:textId="77777777" w:rsidR="0099163E" w:rsidRPr="0099163E" w:rsidRDefault="0099163E" w:rsidP="0099163E">
            <w:pPr>
              <w:numPr>
                <w:ilvl w:val="0"/>
                <w:numId w:val="8"/>
              </w:numPr>
              <w:spacing w:before="100" w:beforeAutospacing="1" w:after="100" w:afterAutospacing="1" w:line="408" w:lineRule="atLeast"/>
              <w:rPr>
                <w:rFonts w:ascii="Roboto" w:eastAsia="Times New Roman" w:hAnsi="Roboto" w:cs="Times New Roman"/>
                <w:color w:val="222222"/>
              </w:rPr>
            </w:pPr>
            <w:r w:rsidRPr="0099163E">
              <w:rPr>
                <w:rFonts w:ascii="Roboto" w:eastAsia="Times New Roman" w:hAnsi="Roboto" w:cs="Times New Roman"/>
                <w:color w:val="222222"/>
              </w:rPr>
              <w:t>Word Clouds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F8A8FD7" w14:textId="77777777" w:rsidR="0099163E" w:rsidRPr="0099163E" w:rsidRDefault="0099163E" w:rsidP="0099163E">
            <w:pPr>
              <w:numPr>
                <w:ilvl w:val="0"/>
                <w:numId w:val="8"/>
              </w:numPr>
              <w:spacing w:before="100" w:beforeAutospacing="1" w:after="100" w:afterAutospacing="1" w:line="408" w:lineRule="atLeast"/>
              <w:rPr>
                <w:rFonts w:ascii="Roboto" w:eastAsia="Times New Roman" w:hAnsi="Roboto" w:cs="Times New Roman"/>
                <w:color w:val="222222"/>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1BD2C49" w14:textId="77777777" w:rsidR="0099163E" w:rsidRPr="0099163E" w:rsidRDefault="0099163E" w:rsidP="0099163E">
            <w:pPr>
              <w:numPr>
                <w:ilvl w:val="0"/>
                <w:numId w:val="9"/>
              </w:numPr>
              <w:spacing w:before="100" w:beforeAutospacing="1" w:after="100" w:afterAutospacing="1" w:line="408" w:lineRule="atLeast"/>
              <w:rPr>
                <w:rFonts w:ascii="Roboto" w:eastAsia="Times New Roman" w:hAnsi="Roboto" w:cs="Times New Roman"/>
                <w:color w:val="222222"/>
              </w:rPr>
            </w:pPr>
            <w:r w:rsidRPr="0099163E">
              <w:rPr>
                <w:rFonts w:ascii="Roboto" w:eastAsia="Times New Roman" w:hAnsi="Roboto" w:cs="Times New Roman"/>
                <w:color w:val="222222"/>
              </w:rPr>
              <w:t>Metaphor Maps</w:t>
            </w:r>
          </w:p>
          <w:p w14:paraId="5158A5B0" w14:textId="77777777" w:rsidR="0099163E" w:rsidRPr="0099163E" w:rsidRDefault="0099163E" w:rsidP="0099163E">
            <w:pPr>
              <w:numPr>
                <w:ilvl w:val="0"/>
                <w:numId w:val="9"/>
              </w:numPr>
              <w:spacing w:before="100" w:beforeAutospacing="1" w:after="100" w:afterAutospacing="1" w:line="408" w:lineRule="atLeast"/>
              <w:rPr>
                <w:rFonts w:ascii="Roboto" w:eastAsia="Times New Roman" w:hAnsi="Roboto" w:cs="Times New Roman"/>
                <w:color w:val="222222"/>
              </w:rPr>
            </w:pPr>
            <w:r w:rsidRPr="0099163E">
              <w:rPr>
                <w:rFonts w:ascii="Roboto" w:eastAsia="Times New Roman" w:hAnsi="Roboto" w:cs="Times New Roman"/>
                <w:color w:val="222222"/>
              </w:rPr>
              <w:t>Student Anthologies</w:t>
            </w:r>
          </w:p>
          <w:p w14:paraId="50D9417B" w14:textId="77777777" w:rsidR="0099163E" w:rsidRPr="0099163E" w:rsidRDefault="0099163E" w:rsidP="0099163E">
            <w:pPr>
              <w:numPr>
                <w:ilvl w:val="0"/>
                <w:numId w:val="9"/>
              </w:numPr>
              <w:spacing w:before="100" w:beforeAutospacing="1" w:after="100" w:afterAutospacing="1" w:line="408" w:lineRule="atLeast"/>
              <w:rPr>
                <w:rFonts w:ascii="Roboto" w:eastAsia="Times New Roman" w:hAnsi="Roboto" w:cs="Times New Roman"/>
                <w:color w:val="222222"/>
              </w:rPr>
            </w:pPr>
            <w:r w:rsidRPr="0099163E">
              <w:rPr>
                <w:rFonts w:ascii="Roboto" w:eastAsia="Times New Roman" w:hAnsi="Roboto" w:cs="Times New Roman"/>
                <w:color w:val="222222"/>
              </w:rPr>
              <w:t>Poster Presentations</w:t>
            </w:r>
          </w:p>
        </w:tc>
      </w:tr>
    </w:tbl>
    <w:p w14:paraId="7B2EDB49" w14:textId="77777777" w:rsidR="0099163E" w:rsidRPr="0099163E" w:rsidRDefault="0099163E" w:rsidP="0099163E">
      <w:pPr>
        <w:shd w:val="clear" w:color="auto" w:fill="FFFFFF"/>
        <w:spacing w:before="225" w:after="225" w:line="408" w:lineRule="atLeast"/>
        <w:rPr>
          <w:rFonts w:ascii="Roboto" w:eastAsia="Times New Roman" w:hAnsi="Roboto" w:cs="Times New Roman"/>
          <w:color w:val="222222"/>
        </w:rPr>
      </w:pPr>
      <w:r w:rsidRPr="0099163E">
        <w:rPr>
          <w:rFonts w:ascii="Roboto" w:eastAsia="Times New Roman" w:hAnsi="Roboto" w:cs="Times New Roman"/>
          <w:color w:val="222222"/>
        </w:rPr>
        <w:t> </w:t>
      </w:r>
    </w:p>
    <w:p w14:paraId="4F9F735C" w14:textId="77777777" w:rsidR="0099163E" w:rsidRPr="0099163E" w:rsidRDefault="0099163E" w:rsidP="0099163E">
      <w:pPr>
        <w:shd w:val="clear" w:color="auto" w:fill="FFFFFF"/>
        <w:spacing w:before="225" w:after="225" w:line="408" w:lineRule="atLeast"/>
        <w:rPr>
          <w:rFonts w:ascii="Roboto" w:eastAsia="Times New Roman" w:hAnsi="Roboto" w:cs="Times New Roman"/>
          <w:color w:val="222222"/>
        </w:rPr>
      </w:pPr>
      <w:r w:rsidRPr="0099163E">
        <w:rPr>
          <w:rFonts w:ascii="Roboto" w:eastAsia="Times New Roman" w:hAnsi="Roboto" w:cs="Times New Roman"/>
          <w:b/>
          <w:bCs/>
          <w:color w:val="222222"/>
        </w:rPr>
        <w:t>References</w:t>
      </w:r>
    </w:p>
    <w:p w14:paraId="3319635E" w14:textId="77777777" w:rsidR="0099163E" w:rsidRPr="0099163E" w:rsidRDefault="0099163E" w:rsidP="0099163E">
      <w:pPr>
        <w:numPr>
          <w:ilvl w:val="0"/>
          <w:numId w:val="10"/>
        </w:numPr>
        <w:shd w:val="clear" w:color="auto" w:fill="FFFFFF"/>
        <w:spacing w:before="100" w:beforeAutospacing="1" w:after="100" w:afterAutospacing="1" w:line="408" w:lineRule="atLeast"/>
        <w:rPr>
          <w:rFonts w:ascii="Roboto" w:eastAsia="Times New Roman" w:hAnsi="Roboto" w:cs="Times New Roman"/>
          <w:color w:val="222222"/>
        </w:rPr>
      </w:pPr>
      <w:r w:rsidRPr="0099163E">
        <w:rPr>
          <w:rFonts w:ascii="Roboto" w:eastAsia="Times New Roman" w:hAnsi="Roboto" w:cs="Times New Roman"/>
          <w:color w:val="222222"/>
        </w:rPr>
        <w:t>Chick, Nancy L. (2002). </w:t>
      </w:r>
      <w:hyperlink r:id="rId36" w:tgtFrame="_blank" w:history="1">
        <w:r w:rsidRPr="0099163E">
          <w:rPr>
            <w:rFonts w:ascii="Roboto" w:eastAsia="Times New Roman" w:hAnsi="Roboto" w:cs="Times New Roman"/>
            <w:color w:val="006682"/>
            <w:u w:val="single"/>
          </w:rPr>
          <w:t>Anthologizing transformation: breaking down students’ ‘private theories’ about poetry</w:t>
        </w:r>
      </w:hyperlink>
      <w:r w:rsidRPr="0099163E">
        <w:rPr>
          <w:rFonts w:ascii="Roboto" w:eastAsia="Times New Roman" w:hAnsi="Roboto" w:cs="Times New Roman"/>
          <w:color w:val="222222"/>
        </w:rPr>
        <w:t>. </w:t>
      </w:r>
      <w:r w:rsidRPr="0099163E">
        <w:rPr>
          <w:rFonts w:ascii="Roboto" w:eastAsia="Times New Roman" w:hAnsi="Roboto" w:cs="Times New Roman"/>
          <w:i/>
          <w:iCs/>
          <w:color w:val="222222"/>
        </w:rPr>
        <w:t>Teaching English in the Two-Year College</w:t>
      </w:r>
      <w:r w:rsidRPr="0099163E">
        <w:rPr>
          <w:rFonts w:ascii="Roboto" w:eastAsia="Times New Roman" w:hAnsi="Roboto" w:cs="Times New Roman"/>
          <w:color w:val="222222"/>
        </w:rPr>
        <w:t>, </w:t>
      </w:r>
      <w:r w:rsidRPr="0099163E">
        <w:rPr>
          <w:rFonts w:ascii="Roboto" w:eastAsia="Times New Roman" w:hAnsi="Roboto" w:cs="Times New Roman"/>
          <w:i/>
          <w:iCs/>
          <w:color w:val="222222"/>
        </w:rPr>
        <w:t>29</w:t>
      </w:r>
      <w:r w:rsidRPr="0099163E">
        <w:rPr>
          <w:rFonts w:ascii="Roboto" w:eastAsia="Times New Roman" w:hAnsi="Roboto" w:cs="Times New Roman"/>
          <w:color w:val="222222"/>
        </w:rPr>
        <w:t>.4. 418-423.</w:t>
      </w:r>
    </w:p>
    <w:p w14:paraId="7005E9E8" w14:textId="77777777" w:rsidR="0099163E" w:rsidRPr="0099163E" w:rsidRDefault="0099163E" w:rsidP="0099163E">
      <w:pPr>
        <w:numPr>
          <w:ilvl w:val="0"/>
          <w:numId w:val="10"/>
        </w:numPr>
        <w:shd w:val="clear" w:color="auto" w:fill="FFFFFF"/>
        <w:spacing w:before="100" w:beforeAutospacing="1" w:after="100" w:afterAutospacing="1" w:line="408" w:lineRule="atLeast"/>
        <w:rPr>
          <w:rFonts w:ascii="Roboto" w:eastAsia="Times New Roman" w:hAnsi="Roboto" w:cs="Times New Roman"/>
          <w:color w:val="222222"/>
        </w:rPr>
      </w:pPr>
      <w:r w:rsidRPr="0099163E">
        <w:rPr>
          <w:rFonts w:ascii="Roboto" w:eastAsia="Times New Roman" w:hAnsi="Roboto" w:cs="Times New Roman"/>
          <w:color w:val="222222"/>
        </w:rPr>
        <w:t>Hallock, Patrice W. (Sept 17, 2012). Using ‘frameworks’ to enhance teaching and learning. </w:t>
      </w:r>
      <w:r w:rsidRPr="0099163E">
        <w:rPr>
          <w:rFonts w:ascii="Roboto" w:eastAsia="Times New Roman" w:hAnsi="Roboto" w:cs="Times New Roman"/>
          <w:i/>
          <w:iCs/>
          <w:color w:val="222222"/>
        </w:rPr>
        <w:t>Faculty Focus.</w:t>
      </w:r>
      <w:r w:rsidRPr="0099163E">
        <w:rPr>
          <w:rFonts w:ascii="Roboto" w:eastAsia="Times New Roman" w:hAnsi="Roboto" w:cs="Times New Roman"/>
          <w:color w:val="222222"/>
        </w:rPr>
        <w:t> Magna Publications.</w:t>
      </w:r>
    </w:p>
    <w:p w14:paraId="2DEB648A" w14:textId="77777777" w:rsidR="0099163E" w:rsidRPr="0099163E" w:rsidRDefault="0099163E" w:rsidP="0099163E">
      <w:pPr>
        <w:numPr>
          <w:ilvl w:val="0"/>
          <w:numId w:val="10"/>
        </w:numPr>
        <w:shd w:val="clear" w:color="auto" w:fill="FFFFFF"/>
        <w:spacing w:before="100" w:beforeAutospacing="1" w:after="100" w:afterAutospacing="1" w:line="408" w:lineRule="atLeast"/>
        <w:rPr>
          <w:rFonts w:ascii="Roboto" w:eastAsia="Times New Roman" w:hAnsi="Roboto" w:cs="Times New Roman"/>
          <w:color w:val="222222"/>
        </w:rPr>
      </w:pPr>
      <w:r w:rsidRPr="0099163E">
        <w:rPr>
          <w:rFonts w:ascii="Roboto" w:eastAsia="Times New Roman" w:hAnsi="Roboto" w:cs="Times New Roman"/>
          <w:color w:val="222222"/>
        </w:rPr>
        <w:t xml:space="preserve">Hess, George, </w:t>
      </w:r>
      <w:proofErr w:type="spellStart"/>
      <w:r w:rsidRPr="0099163E">
        <w:rPr>
          <w:rFonts w:ascii="Roboto" w:eastAsia="Times New Roman" w:hAnsi="Roboto" w:cs="Times New Roman"/>
          <w:color w:val="222222"/>
        </w:rPr>
        <w:t>Tosney</w:t>
      </w:r>
      <w:proofErr w:type="spellEnd"/>
      <w:r w:rsidRPr="0099163E">
        <w:rPr>
          <w:rFonts w:ascii="Roboto" w:eastAsia="Times New Roman" w:hAnsi="Roboto" w:cs="Times New Roman"/>
          <w:color w:val="222222"/>
        </w:rPr>
        <w:t xml:space="preserve">, Kathryn, and </w:t>
      </w:r>
      <w:proofErr w:type="spellStart"/>
      <w:r w:rsidRPr="0099163E">
        <w:rPr>
          <w:rFonts w:ascii="Roboto" w:eastAsia="Times New Roman" w:hAnsi="Roboto" w:cs="Times New Roman"/>
          <w:color w:val="222222"/>
        </w:rPr>
        <w:t>Liegel</w:t>
      </w:r>
      <w:proofErr w:type="spellEnd"/>
      <w:r w:rsidRPr="0099163E">
        <w:rPr>
          <w:rFonts w:ascii="Roboto" w:eastAsia="Times New Roman" w:hAnsi="Roboto" w:cs="Times New Roman"/>
          <w:color w:val="222222"/>
        </w:rPr>
        <w:t>, Leon. (2013). </w:t>
      </w:r>
      <w:hyperlink r:id="rId37" w:tgtFrame="_blank" w:history="1">
        <w:r w:rsidRPr="0099163E">
          <w:rPr>
            <w:rFonts w:ascii="Roboto" w:eastAsia="Times New Roman" w:hAnsi="Roboto" w:cs="Times New Roman"/>
            <w:color w:val="006682"/>
            <w:u w:val="single"/>
          </w:rPr>
          <w:t>Creating effective poster presentations</w:t>
        </w:r>
      </w:hyperlink>
      <w:r w:rsidRPr="0099163E">
        <w:rPr>
          <w:rFonts w:ascii="Roboto" w:eastAsia="Times New Roman" w:hAnsi="Roboto" w:cs="Times New Roman"/>
          <w:color w:val="222222"/>
        </w:rPr>
        <w:t>. North Carolina State University.</w:t>
      </w:r>
    </w:p>
    <w:p w14:paraId="3A7CD454" w14:textId="77777777" w:rsidR="0099163E" w:rsidRPr="0099163E" w:rsidRDefault="0099163E" w:rsidP="0099163E">
      <w:pPr>
        <w:numPr>
          <w:ilvl w:val="0"/>
          <w:numId w:val="10"/>
        </w:numPr>
        <w:shd w:val="clear" w:color="auto" w:fill="FFFFFF"/>
        <w:spacing w:before="100" w:beforeAutospacing="1" w:after="100" w:afterAutospacing="1" w:line="408" w:lineRule="atLeast"/>
        <w:rPr>
          <w:rFonts w:ascii="Roboto" w:eastAsia="Times New Roman" w:hAnsi="Roboto" w:cs="Times New Roman"/>
          <w:color w:val="222222"/>
        </w:rPr>
      </w:pPr>
      <w:r w:rsidRPr="0099163E">
        <w:rPr>
          <w:rFonts w:ascii="Roboto" w:eastAsia="Times New Roman" w:hAnsi="Roboto" w:cs="Times New Roman"/>
          <w:color w:val="222222"/>
        </w:rPr>
        <w:t>Pierce, K. (2013).  Concept maps in philosophy courses. In Socrates’ Wake: A Blog about Teaching Philosophy.</w:t>
      </w:r>
    </w:p>
    <w:p w14:paraId="61EA7E52" w14:textId="77777777" w:rsidR="0099163E" w:rsidRPr="0099163E" w:rsidRDefault="0099163E" w:rsidP="0099163E">
      <w:pPr>
        <w:numPr>
          <w:ilvl w:val="0"/>
          <w:numId w:val="10"/>
        </w:numPr>
        <w:shd w:val="clear" w:color="auto" w:fill="FFFFFF"/>
        <w:spacing w:before="100" w:beforeAutospacing="1" w:after="100" w:afterAutospacing="1" w:line="408" w:lineRule="atLeast"/>
        <w:rPr>
          <w:rFonts w:ascii="Roboto" w:eastAsia="Times New Roman" w:hAnsi="Roboto" w:cs="Times New Roman"/>
          <w:color w:val="222222"/>
        </w:rPr>
      </w:pPr>
      <w:r w:rsidRPr="0099163E">
        <w:rPr>
          <w:rFonts w:ascii="Roboto" w:eastAsia="Times New Roman" w:hAnsi="Roboto" w:cs="Times New Roman"/>
          <w:color w:val="222222"/>
        </w:rPr>
        <w:lastRenderedPageBreak/>
        <w:t>Shulman, Lee S. (2004). </w:t>
      </w:r>
      <w:hyperlink r:id="rId38" w:tgtFrame="_blank" w:history="1">
        <w:r w:rsidRPr="0099163E">
          <w:rPr>
            <w:rFonts w:ascii="Roboto" w:eastAsia="Times New Roman" w:hAnsi="Roboto" w:cs="Times New Roman"/>
            <w:color w:val="006682"/>
            <w:u w:val="single"/>
          </w:rPr>
          <w:t>Teaching as community property: Putting an end to pedagogical solitude</w:t>
        </w:r>
      </w:hyperlink>
      <w:r w:rsidRPr="0099163E">
        <w:rPr>
          <w:rFonts w:ascii="Roboto" w:eastAsia="Times New Roman" w:hAnsi="Roboto" w:cs="Times New Roman"/>
          <w:color w:val="222222"/>
        </w:rPr>
        <w:t>. </w:t>
      </w:r>
      <w:r w:rsidRPr="0099163E">
        <w:rPr>
          <w:rFonts w:ascii="Roboto" w:eastAsia="Times New Roman" w:hAnsi="Roboto" w:cs="Times New Roman"/>
          <w:i/>
          <w:iCs/>
          <w:color w:val="222222"/>
        </w:rPr>
        <w:t>Teaching as Community Property: Essays on Higher Education</w:t>
      </w:r>
      <w:r w:rsidRPr="0099163E">
        <w:rPr>
          <w:rFonts w:ascii="Roboto" w:eastAsia="Times New Roman" w:hAnsi="Roboto" w:cs="Times New Roman"/>
          <w:color w:val="222222"/>
        </w:rPr>
        <w:t>. San Francisco: Jossey-Bass. 140-144.</w:t>
      </w:r>
    </w:p>
    <w:p w14:paraId="7BFCE787" w14:textId="77777777" w:rsidR="0099163E" w:rsidRPr="0099163E" w:rsidRDefault="0099163E" w:rsidP="0099163E">
      <w:pPr>
        <w:shd w:val="clear" w:color="auto" w:fill="FFFFFF"/>
        <w:spacing w:before="225" w:after="225" w:line="408" w:lineRule="atLeast"/>
        <w:rPr>
          <w:rFonts w:ascii="Roboto" w:eastAsia="Times New Roman" w:hAnsi="Roboto" w:cs="Times New Roman"/>
          <w:color w:val="222222"/>
        </w:rPr>
      </w:pPr>
      <w:r w:rsidRPr="0099163E">
        <w:rPr>
          <w:rFonts w:ascii="Roboto" w:eastAsia="Times New Roman" w:hAnsi="Roboto" w:cs="Times New Roman"/>
          <w:color w:val="222222"/>
        </w:rPr>
        <w:t> </w:t>
      </w:r>
    </w:p>
    <w:p w14:paraId="304B1AC8" w14:textId="77777777" w:rsidR="0099163E" w:rsidRPr="0099163E" w:rsidRDefault="0099163E" w:rsidP="0099163E">
      <w:pPr>
        <w:shd w:val="clear" w:color="auto" w:fill="FFFFFF"/>
        <w:spacing w:before="225" w:after="225" w:line="408" w:lineRule="atLeast"/>
        <w:rPr>
          <w:rFonts w:ascii="Roboto" w:eastAsia="Times New Roman" w:hAnsi="Roboto" w:cs="Times New Roman"/>
          <w:color w:val="222222"/>
        </w:rPr>
      </w:pPr>
      <w:r w:rsidRPr="0099163E">
        <w:rPr>
          <w:rFonts w:ascii="Roboto" w:eastAsia="Times New Roman" w:hAnsi="Roboto" w:cs="Times New Roman"/>
          <w:color w:val="222222"/>
        </w:rPr>
        <w:t> </w:t>
      </w:r>
    </w:p>
    <w:p w14:paraId="4C4F447F" w14:textId="77777777" w:rsidR="0099163E" w:rsidRPr="0099163E" w:rsidRDefault="005D58E1" w:rsidP="0099163E">
      <w:pPr>
        <w:spacing w:before="300" w:after="300"/>
        <w:rPr>
          <w:rFonts w:ascii="Times New Roman" w:eastAsia="Times New Roman" w:hAnsi="Times New Roman" w:cs="Times New Roman"/>
        </w:rPr>
      </w:pPr>
      <w:r>
        <w:rPr>
          <w:rFonts w:ascii="Times New Roman" w:eastAsia="Times New Roman" w:hAnsi="Times New Roman" w:cs="Times New Roman"/>
          <w:noProof/>
        </w:rPr>
        <w:pict w14:anchorId="1AE9814E">
          <v:rect id="_x0000_i1025" alt="" style="width:468pt;height:.05pt;mso-width-percent:0;mso-height-percent:0;mso-width-percent:0;mso-height-percent:0" o:hralign="center" o:hrstd="t" o:hrnoshade="t" o:hr="t" fillcolor="#222" stroked="f"/>
        </w:pict>
      </w:r>
    </w:p>
    <w:p w14:paraId="18038DD0" w14:textId="2913FCD3" w:rsidR="0099163E" w:rsidRPr="0099163E" w:rsidRDefault="0099163E" w:rsidP="0099163E">
      <w:pPr>
        <w:shd w:val="clear" w:color="auto" w:fill="FFFFFF"/>
        <w:spacing w:before="225" w:after="225" w:line="408" w:lineRule="atLeast"/>
        <w:jc w:val="center"/>
        <w:rPr>
          <w:rFonts w:ascii="Roboto" w:eastAsia="Times New Roman" w:hAnsi="Roboto" w:cs="Times New Roman"/>
          <w:color w:val="222222"/>
        </w:rPr>
      </w:pPr>
      <w:r w:rsidRPr="0099163E">
        <w:rPr>
          <w:rFonts w:ascii="Roboto" w:eastAsia="Times New Roman" w:hAnsi="Roboto" w:cs="Times New Roman"/>
          <w:noProof/>
          <w:color w:val="006682"/>
        </w:rPr>
        <w:drawing>
          <wp:inline distT="0" distB="0" distL="0" distR="0" wp14:anchorId="0B1248E8" wp14:editId="5132E8A6">
            <wp:extent cx="1016000" cy="193040"/>
            <wp:effectExtent l="0" t="0" r="0" b="0"/>
            <wp:docPr id="1" name="Picture 1" descr="Creative Commons Licens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16000" cy="193040"/>
                    </a:xfrm>
                    <a:prstGeom prst="rect">
                      <a:avLst/>
                    </a:prstGeom>
                    <a:noFill/>
                    <a:ln>
                      <a:noFill/>
                    </a:ln>
                  </pic:spPr>
                </pic:pic>
              </a:graphicData>
            </a:graphic>
          </wp:inline>
        </w:drawing>
      </w:r>
      <w:r w:rsidRPr="0099163E">
        <w:rPr>
          <w:rFonts w:ascii="Roboto" w:eastAsia="Times New Roman" w:hAnsi="Roboto" w:cs="Times New Roman"/>
          <w:color w:val="222222"/>
        </w:rPr>
        <w:br/>
        <w:t>This teaching guide is licensed under a </w:t>
      </w:r>
      <w:hyperlink r:id="rId41" w:history="1">
        <w:r w:rsidRPr="0099163E">
          <w:rPr>
            <w:rFonts w:ascii="Roboto" w:eastAsia="Times New Roman" w:hAnsi="Roboto" w:cs="Times New Roman"/>
            <w:color w:val="006682"/>
            <w:u w:val="single"/>
          </w:rPr>
          <w:t>Creative Commons Attribution-</w:t>
        </w:r>
        <w:proofErr w:type="spellStart"/>
        <w:r w:rsidRPr="0099163E">
          <w:rPr>
            <w:rFonts w:ascii="Roboto" w:eastAsia="Times New Roman" w:hAnsi="Roboto" w:cs="Times New Roman"/>
            <w:color w:val="006682"/>
            <w:u w:val="single"/>
          </w:rPr>
          <w:t>NonCommercial</w:t>
        </w:r>
        <w:proofErr w:type="spellEnd"/>
        <w:r w:rsidRPr="0099163E">
          <w:rPr>
            <w:rFonts w:ascii="Roboto" w:eastAsia="Times New Roman" w:hAnsi="Roboto" w:cs="Times New Roman"/>
            <w:color w:val="006682"/>
            <w:u w:val="single"/>
          </w:rPr>
          <w:t xml:space="preserve"> 4.0 International License</w:t>
        </w:r>
      </w:hyperlink>
      <w:r w:rsidRPr="0099163E">
        <w:rPr>
          <w:rFonts w:ascii="Roboto" w:eastAsia="Times New Roman" w:hAnsi="Roboto" w:cs="Times New Roman"/>
          <w:color w:val="222222"/>
        </w:rPr>
        <w:t>.</w:t>
      </w:r>
    </w:p>
    <w:p w14:paraId="5B641796" w14:textId="77777777" w:rsidR="0099163E" w:rsidRPr="0099163E" w:rsidRDefault="0099163E" w:rsidP="0099163E">
      <w:pPr>
        <w:rPr>
          <w:rFonts w:ascii="Times New Roman" w:eastAsia="Times New Roman" w:hAnsi="Times New Roman" w:cs="Times New Roman"/>
        </w:rPr>
      </w:pPr>
    </w:p>
    <w:p w14:paraId="6EE0FAA0" w14:textId="77777777" w:rsidR="00254F3D" w:rsidRDefault="00254F3D"/>
    <w:sectPr w:rsidR="00254F3D" w:rsidSect="00D77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Roboto">
    <w:altName w:val="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414B1"/>
    <w:multiLevelType w:val="multilevel"/>
    <w:tmpl w:val="057C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D0D29"/>
    <w:multiLevelType w:val="multilevel"/>
    <w:tmpl w:val="1056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D2E91"/>
    <w:multiLevelType w:val="multilevel"/>
    <w:tmpl w:val="43EE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A71D3A"/>
    <w:multiLevelType w:val="multilevel"/>
    <w:tmpl w:val="D26A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640559"/>
    <w:multiLevelType w:val="multilevel"/>
    <w:tmpl w:val="C5AE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CD2CB5"/>
    <w:multiLevelType w:val="multilevel"/>
    <w:tmpl w:val="958A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0D6898"/>
    <w:multiLevelType w:val="multilevel"/>
    <w:tmpl w:val="C8EA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2070D6"/>
    <w:multiLevelType w:val="multilevel"/>
    <w:tmpl w:val="44420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EA5B49"/>
    <w:multiLevelType w:val="multilevel"/>
    <w:tmpl w:val="9E26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2E1E7A"/>
    <w:multiLevelType w:val="multilevel"/>
    <w:tmpl w:val="D71A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9"/>
  </w:num>
  <w:num w:numId="4">
    <w:abstractNumId w:val="0"/>
  </w:num>
  <w:num w:numId="5">
    <w:abstractNumId w:val="3"/>
  </w:num>
  <w:num w:numId="6">
    <w:abstractNumId w:val="1"/>
  </w:num>
  <w:num w:numId="7">
    <w:abstractNumId w:val="7"/>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63E"/>
    <w:rsid w:val="00254F3D"/>
    <w:rsid w:val="005D58E1"/>
    <w:rsid w:val="0099163E"/>
    <w:rsid w:val="009C6B5D"/>
    <w:rsid w:val="009D6289"/>
    <w:rsid w:val="00B5301B"/>
    <w:rsid w:val="00D77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3DC52"/>
  <w15:chartTrackingRefBased/>
  <w15:docId w15:val="{D5F4C99D-900A-A84F-B7A1-408C05F8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9163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163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9163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9163E"/>
    <w:rPr>
      <w:color w:val="0000FF"/>
      <w:u w:val="single"/>
    </w:rPr>
  </w:style>
  <w:style w:type="character" w:styleId="Strong">
    <w:name w:val="Strong"/>
    <w:basedOn w:val="DefaultParagraphFont"/>
    <w:uiPriority w:val="22"/>
    <w:qFormat/>
    <w:rsid w:val="0099163E"/>
    <w:rPr>
      <w:b/>
      <w:bCs/>
    </w:rPr>
  </w:style>
  <w:style w:type="character" w:styleId="Emphasis">
    <w:name w:val="Emphasis"/>
    <w:basedOn w:val="DefaultParagraphFont"/>
    <w:uiPriority w:val="20"/>
    <w:qFormat/>
    <w:rsid w:val="009916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782401">
      <w:bodyDiv w:val="1"/>
      <w:marLeft w:val="0"/>
      <w:marRight w:val="0"/>
      <w:marTop w:val="0"/>
      <w:marBottom w:val="0"/>
      <w:divBdr>
        <w:top w:val="none" w:sz="0" w:space="0" w:color="auto"/>
        <w:left w:val="none" w:sz="0" w:space="0" w:color="auto"/>
        <w:bottom w:val="none" w:sz="0" w:space="0" w:color="auto"/>
        <w:right w:val="none" w:sz="0" w:space="0" w:color="auto"/>
      </w:divBdr>
      <w:divsChild>
        <w:div w:id="2064256242">
          <w:blockQuote w:val="1"/>
          <w:marLeft w:val="300"/>
          <w:marRight w:val="0"/>
          <w:marTop w:val="0"/>
          <w:marBottom w:val="300"/>
          <w:divBdr>
            <w:top w:val="none" w:sz="0" w:space="0" w:color="auto"/>
            <w:left w:val="dashed" w:sz="12" w:space="15" w:color="D8AB4C"/>
            <w:bottom w:val="none" w:sz="0" w:space="0" w:color="auto"/>
            <w:right w:val="none" w:sz="0" w:space="0" w:color="auto"/>
          </w:divBdr>
        </w:div>
        <w:div w:id="994576986">
          <w:blockQuote w:val="1"/>
          <w:marLeft w:val="300"/>
          <w:marRight w:val="0"/>
          <w:marTop w:val="0"/>
          <w:marBottom w:val="300"/>
          <w:divBdr>
            <w:top w:val="none" w:sz="0" w:space="0" w:color="auto"/>
            <w:left w:val="dashed" w:sz="12" w:space="15" w:color="D8AB4C"/>
            <w:bottom w:val="none" w:sz="0" w:space="0" w:color="auto"/>
            <w:right w:val="none" w:sz="0" w:space="0" w:color="auto"/>
          </w:divBdr>
        </w:div>
        <w:div w:id="238953690">
          <w:blockQuote w:val="1"/>
          <w:marLeft w:val="300"/>
          <w:marRight w:val="0"/>
          <w:marTop w:val="0"/>
          <w:marBottom w:val="300"/>
          <w:divBdr>
            <w:top w:val="none" w:sz="0" w:space="0" w:color="auto"/>
            <w:left w:val="dashed" w:sz="12" w:space="15" w:color="D8AB4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h3.googleusercontent.com/-BWaVooKiJCk/TXz-MeBJ2TI/AAAAAAAAAbY/gNAe3jVdpvA/s1600/Ethics-Mountain-fall-2010.jpg" TargetMode="External"/><Relationship Id="rId18" Type="http://schemas.openxmlformats.org/officeDocument/2006/relationships/hyperlink" Target="http://www.ncsu.edu/project/posters/" TargetMode="External"/><Relationship Id="rId26" Type="http://schemas.openxmlformats.org/officeDocument/2006/relationships/image" Target="media/image9.jpeg"/><Relationship Id="rId39" Type="http://schemas.openxmlformats.org/officeDocument/2006/relationships/hyperlink" Target="http://creativecommons.org/licenses/by-nc/4.0/" TargetMode="External"/><Relationship Id="rId21" Type="http://schemas.openxmlformats.org/officeDocument/2006/relationships/hyperlink" Target="https://cdn.vanderbilt.edu/vu-wp0/wp-content/uploads/sites/59/2019/03/27125537/response.jpg" TargetMode="External"/><Relationship Id="rId34" Type="http://schemas.openxmlformats.org/officeDocument/2006/relationships/hyperlink" Target="http://cft.vanderbilt.edu/teaching-guides/assessment/beyond-the-essay/" TargetMode="External"/><Relationship Id="rId42" Type="http://schemas.openxmlformats.org/officeDocument/2006/relationships/fontTable" Target="fontTable.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earch.proquest.com.proxy.library.vanderbilt.edu/docview/220960751?accountid=14816" TargetMode="External"/><Relationship Id="rId20" Type="http://schemas.openxmlformats.org/officeDocument/2006/relationships/image" Target="media/image6.jpeg"/><Relationship Id="rId29" Type="http://schemas.openxmlformats.org/officeDocument/2006/relationships/hyperlink" Target="https://cdn.vanderbilt.edu/vu-wp0/wp-content/uploads/sites/59/2019/03/27125529/narrative.jpg" TargetMode="External"/><Relationship Id="rId41" Type="http://schemas.openxmlformats.org/officeDocument/2006/relationships/hyperlink" Target="http://creativecommons.org/licenses/by-nc/4.0/" TargetMode="External"/><Relationship Id="rId1" Type="http://schemas.openxmlformats.org/officeDocument/2006/relationships/numbering" Target="numbering.xml"/><Relationship Id="rId6" Type="http://schemas.openxmlformats.org/officeDocument/2006/relationships/hyperlink" Target="https://cdn.vanderbilt.edu/vu-wp0/wp-content/uploads/sites/59/2019/03/27125541/Slide12.jpg" TargetMode="External"/><Relationship Id="rId11" Type="http://schemas.openxmlformats.org/officeDocument/2006/relationships/image" Target="media/image4.png"/><Relationship Id="rId24" Type="http://schemas.openxmlformats.org/officeDocument/2006/relationships/image" Target="media/image8.jpeg"/><Relationship Id="rId32" Type="http://schemas.openxmlformats.org/officeDocument/2006/relationships/hyperlink" Target="http://www.brainpickings.org/index.php/2013/06/07/painters-lives-accurat-giorgia-lupi/" TargetMode="External"/><Relationship Id="rId37" Type="http://schemas.openxmlformats.org/officeDocument/2006/relationships/hyperlink" Target="http://www.ncsu.edu/project/posters/" TargetMode="External"/><Relationship Id="rId40" Type="http://schemas.openxmlformats.org/officeDocument/2006/relationships/image" Target="media/image12.png"/><Relationship Id="rId5" Type="http://schemas.openxmlformats.org/officeDocument/2006/relationships/image" Target="media/image1.png"/><Relationship Id="rId15" Type="http://schemas.openxmlformats.org/officeDocument/2006/relationships/hyperlink" Target="http://www.mymodernmet.com/profiles/blogs/minimalist-fairy-tale-posters" TargetMode="External"/><Relationship Id="rId23" Type="http://schemas.openxmlformats.org/officeDocument/2006/relationships/hyperlink" Target="https://cdn.vanderbilt.edu/vu-wp0/wp-content/uploads/sites/59/2019/03/27125551/Slide2.jpg" TargetMode="External"/><Relationship Id="rId28" Type="http://schemas.openxmlformats.org/officeDocument/2006/relationships/image" Target="media/image10.jpeg"/><Relationship Id="rId36" Type="http://schemas.openxmlformats.org/officeDocument/2006/relationships/hyperlink" Target="http://search.proquest.com.proxy.library.vanderbilt.edu/docview/220960751?accountid=14816" TargetMode="External"/><Relationship Id="rId10" Type="http://schemas.openxmlformats.org/officeDocument/2006/relationships/hyperlink" Target="https://cft.vanderbilt.edu/wp-content/uploads/sites/59/camera1.jpg" TargetMode="External"/><Relationship Id="rId19" Type="http://schemas.openxmlformats.org/officeDocument/2006/relationships/hyperlink" Target="https://cdn.vanderbilt.edu/vu-wp0/wp-content/uploads/sites/59/2019/03/27125552/Slide1.jpg" TargetMode="External"/><Relationship Id="rId31" Type="http://schemas.openxmlformats.org/officeDocument/2006/relationships/hyperlink" Target="http://www.writing.engr.psu.edu/slides.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image" Target="media/image7.jpeg"/><Relationship Id="rId27" Type="http://schemas.openxmlformats.org/officeDocument/2006/relationships/hyperlink" Target="https://cdn.vanderbilt.edu/vu-wp0/wp-content/uploads/sites/59/2019/03/27125530/intersect.jpg" TargetMode="External"/><Relationship Id="rId30" Type="http://schemas.openxmlformats.org/officeDocument/2006/relationships/image" Target="media/image11.jpeg"/><Relationship Id="rId35" Type="http://schemas.openxmlformats.org/officeDocument/2006/relationships/hyperlink" Target="http://cft.vanderbilt.edu/teaching-guides/assessment/beyond-the-essay/beyond-the-essay-formative/" TargetMode="External"/><Relationship Id="rId43" Type="http://schemas.openxmlformats.org/officeDocument/2006/relationships/theme" Target="theme/theme1.xml"/><Relationship Id="rId8" Type="http://schemas.openxmlformats.org/officeDocument/2006/relationships/hyperlink" Target="https://cdn.vanderbilt.edu/vu-wp0/wp-content/uploads/sites/59/2019/03/27125540/Slide22.jpg" TargetMode="External"/><Relationship Id="rId3" Type="http://schemas.openxmlformats.org/officeDocument/2006/relationships/settings" Target="settings.xml"/><Relationship Id="rId12" Type="http://schemas.openxmlformats.org/officeDocument/2006/relationships/hyperlink" Target="http://www.facultyfocus.com/articles/teaching-and-learning/using-frameworks-to-enhance-teaching-and-learning/" TargetMode="External"/><Relationship Id="rId17" Type="http://schemas.openxmlformats.org/officeDocument/2006/relationships/hyperlink" Target="http://depts.washington.edu/comgrnd/ccli/papers/shulman1993TeachingAsCommunityProperty.pdf" TargetMode="External"/><Relationship Id="rId25" Type="http://schemas.openxmlformats.org/officeDocument/2006/relationships/hyperlink" Target="https://cdn.vanderbilt.edu/vu-wp0/wp-content/uploads/sites/59/2019/03/27125536/fill.jpg" TargetMode="External"/><Relationship Id="rId33" Type="http://schemas.openxmlformats.org/officeDocument/2006/relationships/hyperlink" Target="http://www.ncsu.edu/project/posters/PPTinstructions.html" TargetMode="External"/><Relationship Id="rId38" Type="http://schemas.openxmlformats.org/officeDocument/2006/relationships/hyperlink" Target="http://depts.washington.edu/comgrnd/ccli/papers/shulman1993TeachingAsCommunityProper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1930</Words>
  <Characters>11006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Byer, Carly</dc:creator>
  <cp:keywords/>
  <dc:description/>
  <cp:lastModifiedBy>Byer, Carly</cp:lastModifiedBy>
  <cp:revision>2</cp:revision>
  <dcterms:created xsi:type="dcterms:W3CDTF">2021-02-17T19:51:00Z</dcterms:created>
  <dcterms:modified xsi:type="dcterms:W3CDTF">2021-02-17T20:18:00Z</dcterms:modified>
</cp:coreProperties>
</file>