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CF" w:rsidRPr="00D535CF" w:rsidRDefault="00D535CF" w:rsidP="00D535CF">
      <w:pPr>
        <w:jc w:val="center"/>
        <w:rPr>
          <w:rFonts w:ascii="Tw Cen MT" w:hAnsi="Tw Cen MT"/>
          <w:b/>
          <w:sz w:val="28"/>
        </w:rPr>
      </w:pPr>
      <w:bookmarkStart w:id="0" w:name="_GoBack"/>
      <w:bookmarkEnd w:id="0"/>
      <w:r w:rsidRPr="00D535CF">
        <w:rPr>
          <w:rFonts w:ascii="Tw Cen MT" w:hAnsi="Tw Cen MT"/>
          <w:b/>
          <w:sz w:val="32"/>
        </w:rPr>
        <w:t>Life GPA: Teaching Beyond the Grade</w:t>
      </w:r>
    </w:p>
    <w:p w:rsidR="00D535CF" w:rsidRPr="00D535CF" w:rsidRDefault="00D535CF" w:rsidP="00D535CF">
      <w:pPr>
        <w:rPr>
          <w:rFonts w:ascii="Tw Cen MT" w:hAnsi="Tw Cen MT"/>
        </w:rPr>
      </w:pPr>
    </w:p>
    <w:p w:rsidR="00D535CF" w:rsidRPr="00D535CF" w:rsidRDefault="00D535CF" w:rsidP="00D535CF">
      <w:pPr>
        <w:rPr>
          <w:rFonts w:ascii="Tw Cen MT" w:hAnsi="Tw Cen MT"/>
        </w:rPr>
      </w:pPr>
      <w:r w:rsidRPr="00D535CF">
        <w:rPr>
          <w:rFonts w:ascii="Tw Cen MT" w:hAnsi="Tw Cen MT"/>
        </w:rPr>
        <w:t>Facilitator: Megan McMurtry, Graduate Teaching Fellow, CFT</w:t>
      </w:r>
    </w:p>
    <w:p w:rsidR="00D535CF" w:rsidRPr="00D535CF" w:rsidRDefault="00D535CF" w:rsidP="00D535CF">
      <w:pPr>
        <w:rPr>
          <w:rFonts w:ascii="Tw Cen MT" w:hAnsi="Tw Cen MT"/>
        </w:rPr>
      </w:pPr>
      <w:r w:rsidRPr="00D535CF">
        <w:rPr>
          <w:rFonts w:ascii="Tw Cen MT" w:hAnsi="Tw Cen MT"/>
        </w:rPr>
        <w:t>As teachers, we often struggle to motivate students to see the value of course content beyond the classroom.  This workshop will focus on strategies for helping students realize the benefits of a broad, general education and put their education into their broader life context.  We will address ways of encouraging students to look beyond their grade to their formation as young adults who will contribute to society in many ways.</w:t>
      </w:r>
    </w:p>
    <w:p w:rsidR="00D535CF" w:rsidRPr="00D535CF" w:rsidRDefault="00D535CF">
      <w:pPr>
        <w:rPr>
          <w:rFonts w:ascii="Tw Cen MT" w:hAnsi="Tw Cen MT"/>
          <w:b/>
        </w:rPr>
      </w:pPr>
    </w:p>
    <w:p w:rsidR="00D535CF" w:rsidRPr="00D535CF" w:rsidRDefault="00D535CF">
      <w:pPr>
        <w:rPr>
          <w:rFonts w:ascii="Tw Cen MT" w:hAnsi="Tw Cen MT"/>
          <w:b/>
        </w:rPr>
      </w:pPr>
    </w:p>
    <w:p w:rsidR="00D535CF" w:rsidRPr="00D535CF" w:rsidRDefault="00D535CF">
      <w:pPr>
        <w:rPr>
          <w:rFonts w:ascii="Tw Cen MT" w:hAnsi="Tw Cen MT"/>
        </w:rPr>
      </w:pPr>
      <w:r w:rsidRPr="00D535CF">
        <w:rPr>
          <w:rFonts w:ascii="Tw Cen MT" w:hAnsi="Tw Cen MT"/>
          <w:b/>
          <w:sz w:val="28"/>
        </w:rPr>
        <w:t xml:space="preserve">Enduring Understanding: </w:t>
      </w:r>
      <w:r w:rsidRPr="00D535CF">
        <w:rPr>
          <w:rFonts w:ascii="Tw Cen MT" w:hAnsi="Tw Cen MT"/>
        </w:rPr>
        <w:t xml:space="preserve">Effective teachers look for ways of engaging students despite their varying motivations, and communicate course content in ways that challenge them and pique their interest.  </w:t>
      </w:r>
    </w:p>
    <w:p w:rsidR="00D535CF" w:rsidRPr="00D535CF" w:rsidRDefault="00D535CF">
      <w:pPr>
        <w:rPr>
          <w:rFonts w:ascii="Tw Cen MT" w:hAnsi="Tw Cen MT"/>
        </w:rPr>
      </w:pPr>
    </w:p>
    <w:p w:rsidR="00D535CF" w:rsidRDefault="00D535CF">
      <w:pPr>
        <w:rPr>
          <w:rFonts w:ascii="Tw Cen MT" w:hAnsi="Tw Cen MT"/>
        </w:rPr>
      </w:pPr>
    </w:p>
    <w:p w:rsidR="00D535CF" w:rsidRPr="00D535CF" w:rsidRDefault="00D535CF">
      <w:pPr>
        <w:rPr>
          <w:rFonts w:ascii="Tw Cen MT" w:hAnsi="Tw Cen MT"/>
        </w:rPr>
      </w:pPr>
    </w:p>
    <w:p w:rsidR="00D535CF" w:rsidRPr="00D535CF" w:rsidRDefault="00D535CF">
      <w:pPr>
        <w:rPr>
          <w:rFonts w:ascii="Tw Cen MT" w:hAnsi="Tw Cen MT"/>
          <w:b/>
          <w:sz w:val="28"/>
        </w:rPr>
      </w:pPr>
      <w:r w:rsidRPr="00D535CF">
        <w:rPr>
          <w:rFonts w:ascii="Tw Cen MT" w:hAnsi="Tw Cen MT"/>
          <w:b/>
          <w:sz w:val="28"/>
        </w:rPr>
        <w:t>Types of Learners:</w:t>
      </w:r>
    </w:p>
    <w:p w:rsidR="00D535CF" w:rsidRPr="00D535CF" w:rsidRDefault="00D535CF">
      <w:pPr>
        <w:rPr>
          <w:rFonts w:ascii="Tw Cen MT" w:hAnsi="Tw Cen MT"/>
        </w:rPr>
      </w:pPr>
      <w:r w:rsidRPr="00D535CF">
        <w:rPr>
          <w:rFonts w:ascii="Tw Cen MT" w:hAnsi="Tw Cen MT"/>
        </w:rPr>
        <w:t xml:space="preserve">Excerpted from </w:t>
      </w:r>
      <w:r w:rsidRPr="00D535CF">
        <w:rPr>
          <w:rFonts w:ascii="Tw Cen MT" w:hAnsi="Tw Cen MT"/>
          <w:i/>
        </w:rPr>
        <w:t>What the Best College Teachers Do</w:t>
      </w:r>
      <w:r w:rsidRPr="00D535CF">
        <w:rPr>
          <w:rFonts w:ascii="Tw Cen MT" w:hAnsi="Tw Cen MT"/>
        </w:rPr>
        <w:t xml:space="preserve"> by Ken Bain, p. 40</w:t>
      </w:r>
    </w:p>
    <w:p w:rsidR="00D535CF" w:rsidRDefault="00D535CF">
      <w:pPr>
        <w:rPr>
          <w:rFonts w:ascii="Tw Cen MT" w:hAnsi="Tw Cen MT"/>
          <w:b/>
        </w:rPr>
      </w:pPr>
    </w:p>
    <w:p w:rsidR="00D535CF" w:rsidRPr="00D535CF" w:rsidRDefault="00D535CF">
      <w:pPr>
        <w:rPr>
          <w:rFonts w:ascii="Tw Cen MT" w:hAnsi="Tw Cen MT"/>
        </w:rPr>
      </w:pPr>
      <w:r w:rsidRPr="00D535CF">
        <w:rPr>
          <w:rFonts w:ascii="Tw Cen MT" w:hAnsi="Tw Cen MT"/>
          <w:b/>
        </w:rPr>
        <w:t xml:space="preserve">Deep Learners: </w:t>
      </w:r>
      <w:r w:rsidRPr="00D535CF">
        <w:rPr>
          <w:rFonts w:ascii="Tw Cen MT" w:hAnsi="Tw Cen MT"/>
        </w:rPr>
        <w:t>People [who] respond primarily to the challenge of mastering something, getting inside a subject and trying to understand it in all its complexity.</w:t>
      </w:r>
    </w:p>
    <w:p w:rsidR="00D535CF" w:rsidRPr="00D535CF" w:rsidRDefault="00D535CF">
      <w:pPr>
        <w:rPr>
          <w:rFonts w:ascii="Tw Cen MT" w:hAnsi="Tw Cen MT"/>
        </w:rPr>
      </w:pPr>
    </w:p>
    <w:p w:rsidR="00D535CF" w:rsidRPr="00D535CF" w:rsidRDefault="00D535CF">
      <w:pPr>
        <w:rPr>
          <w:rFonts w:ascii="Tw Cen MT" w:hAnsi="Tw Cen MT"/>
        </w:rPr>
      </w:pPr>
      <w:r w:rsidRPr="00D535CF">
        <w:rPr>
          <w:rFonts w:ascii="Tw Cen MT" w:hAnsi="Tw Cen MT"/>
          <w:b/>
        </w:rPr>
        <w:t>Strategic Learners:</w:t>
      </w:r>
      <w:r w:rsidRPr="00D535CF">
        <w:rPr>
          <w:rFonts w:ascii="Tw Cen MT" w:hAnsi="Tw Cen MT"/>
        </w:rPr>
        <w:t xml:space="preserve"> [People who] react well to competition, to the quest for the gold and the chance to do better than anyone else. … [S]</w:t>
      </w:r>
      <w:proofErr w:type="spellStart"/>
      <w:r w:rsidRPr="00D535CF">
        <w:rPr>
          <w:rFonts w:ascii="Tw Cen MT" w:hAnsi="Tw Cen MT"/>
        </w:rPr>
        <w:t>uch</w:t>
      </w:r>
      <w:proofErr w:type="spellEnd"/>
      <w:r w:rsidRPr="00D535CF">
        <w:rPr>
          <w:rFonts w:ascii="Tw Cen MT" w:hAnsi="Tw Cen MT"/>
        </w:rPr>
        <w:t xml:space="preserve"> learners frequently … [are] interested in making the high grades but seldom willing to grapple deeply enough to change their own perceptions.  They learn for the test and then quickly expunge the material to make room for something else.</w:t>
      </w:r>
    </w:p>
    <w:p w:rsidR="00D535CF" w:rsidRPr="00D535CF" w:rsidRDefault="00D535CF">
      <w:pPr>
        <w:rPr>
          <w:rFonts w:ascii="Tw Cen MT" w:hAnsi="Tw Cen MT"/>
        </w:rPr>
      </w:pPr>
    </w:p>
    <w:p w:rsidR="00354B42" w:rsidRPr="00D535CF" w:rsidRDefault="00D535CF">
      <w:pPr>
        <w:rPr>
          <w:rFonts w:ascii="Tw Cen MT" w:hAnsi="Tw Cen MT"/>
          <w:b/>
        </w:rPr>
      </w:pPr>
      <w:r w:rsidRPr="00D535CF">
        <w:rPr>
          <w:rFonts w:ascii="Tw Cen MT" w:hAnsi="Tw Cen MT"/>
          <w:b/>
        </w:rPr>
        <w:t>Surface Learners</w:t>
      </w:r>
      <w:r w:rsidRPr="00D535CF">
        <w:rPr>
          <w:rFonts w:ascii="Tw Cen MT" w:hAnsi="Tw Cen MT"/>
        </w:rPr>
        <w:t>: [P]</w:t>
      </w:r>
      <w:proofErr w:type="spellStart"/>
      <w:r w:rsidRPr="00D535CF">
        <w:rPr>
          <w:rFonts w:ascii="Tw Cen MT" w:hAnsi="Tw Cen MT"/>
        </w:rPr>
        <w:t>eople</w:t>
      </w:r>
      <w:proofErr w:type="spellEnd"/>
      <w:r w:rsidRPr="00D535CF">
        <w:rPr>
          <w:rFonts w:ascii="Tw Cen MT" w:hAnsi="Tw Cen MT"/>
        </w:rPr>
        <w:t xml:space="preserve"> who seek primarily to avoid failure… In the classroom, they often become surface learners, never willing to invest enough of themselves in to probe a topic deeply because they fear failure, so they stick to trying to cope, to survive.  They often resort to memorizing and trying simply to reproduce what they hear.</w:t>
      </w:r>
      <w:r w:rsidR="00354B42" w:rsidRPr="00D535CF">
        <w:rPr>
          <w:rFonts w:ascii="Tw Cen MT" w:hAnsi="Tw Cen MT"/>
          <w:b/>
        </w:rPr>
        <w:br w:type="page"/>
      </w:r>
    </w:p>
    <w:p w:rsidR="00F627FB" w:rsidRPr="00090D36" w:rsidRDefault="00B35081" w:rsidP="000169A0">
      <w:pPr>
        <w:jc w:val="center"/>
        <w:rPr>
          <w:rFonts w:ascii="Tw Cen MT" w:hAnsi="Tw Cen MT"/>
          <w:sz w:val="28"/>
        </w:rPr>
      </w:pPr>
      <w:r w:rsidRPr="00090D36">
        <w:rPr>
          <w:rFonts w:ascii="Tw Cen MT" w:hAnsi="Tw Cen MT"/>
          <w:b/>
          <w:sz w:val="28"/>
        </w:rPr>
        <w:lastRenderedPageBreak/>
        <w:t>Motivating Students</w:t>
      </w:r>
    </w:p>
    <w:p w:rsidR="008003F4" w:rsidRPr="00D535CF" w:rsidRDefault="008003F4" w:rsidP="000169A0">
      <w:pPr>
        <w:rPr>
          <w:rFonts w:ascii="Tw Cen MT" w:hAnsi="Tw Cen MT"/>
        </w:rPr>
      </w:pPr>
    </w:p>
    <w:p w:rsidR="00C0044F" w:rsidRPr="00D535CF" w:rsidRDefault="00C0044F" w:rsidP="000169A0">
      <w:pPr>
        <w:rPr>
          <w:rFonts w:ascii="Tw Cen MT" w:hAnsi="Tw Cen MT"/>
          <w:u w:val="single"/>
        </w:rPr>
      </w:pPr>
      <w:r w:rsidRPr="00D535CF">
        <w:rPr>
          <w:rFonts w:ascii="Tw Cen MT" w:hAnsi="Tw Cen MT"/>
          <w:b/>
          <w:u w:val="single"/>
        </w:rPr>
        <w:t>Intrinsic Motivation</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Intrinsic motivators</w:t>
      </w:r>
      <w:r w:rsidRPr="00D535CF">
        <w:rPr>
          <w:rFonts w:ascii="Tw Cen MT" w:eastAsia="Times New Roman" w:hAnsi="Tw Cen MT" w:cs="Arial"/>
        </w:rPr>
        <w:t> include fascination with the subject, a sense of its relevance to life and the world, a sense of accomplishment in mastering it, and a sense of calling to it.</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Students who are intrinsically motivated might say things like the following.</w:t>
      </w:r>
    </w:p>
    <w:p w:rsidR="00C0044F" w:rsidRPr="00D535CF" w:rsidRDefault="00C0044F" w:rsidP="000169A0">
      <w:pPr>
        <w:numPr>
          <w:ilvl w:val="0"/>
          <w:numId w:val="7"/>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“Literature interests me.”</w:t>
      </w:r>
    </w:p>
    <w:p w:rsidR="00C0044F" w:rsidRPr="00D535CF" w:rsidRDefault="00C0044F" w:rsidP="000169A0">
      <w:pPr>
        <w:numPr>
          <w:ilvl w:val="0"/>
          <w:numId w:val="7"/>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“Learning math enables me to think clearly.”</w:t>
      </w:r>
    </w:p>
    <w:p w:rsidR="00C0044F" w:rsidRPr="00D535CF" w:rsidRDefault="00C0044F" w:rsidP="000169A0">
      <w:pPr>
        <w:numPr>
          <w:ilvl w:val="0"/>
          <w:numId w:val="7"/>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“I feel good when I succeed in class.”</w:t>
      </w:r>
    </w:p>
    <w:p w:rsidR="00C0044F" w:rsidRPr="00D535CF" w:rsidRDefault="00C0044F" w:rsidP="000169A0">
      <w:pPr>
        <w:shd w:val="clear" w:color="auto" w:fill="FFFFFF"/>
        <w:textAlignment w:val="baseline"/>
        <w:rPr>
          <w:rFonts w:ascii="Tw Cen MT" w:eastAsia="Times New Roman" w:hAnsi="Tw Cen MT" w:cs="Arial"/>
          <w:b/>
          <w:bCs/>
        </w:rPr>
      </w:pP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Advantages:</w:t>
      </w:r>
      <w:r w:rsidRPr="00D535CF">
        <w:rPr>
          <w:rFonts w:ascii="Tw Cen MT" w:eastAsia="Times New Roman" w:hAnsi="Tw Cen MT" w:cs="Arial"/>
        </w:rPr>
        <w:t> Intrinsic motivation can be long-lasting and self-sustaining.  Efforts to build this kind of motivation are also typically efforts at promoting student learning.  Such efforts often focus on the subject rather than rewards or punishments.</w:t>
      </w:r>
    </w:p>
    <w:p w:rsidR="00C0044F" w:rsidRPr="00D535CF" w:rsidRDefault="00C0044F" w:rsidP="000169A0">
      <w:pPr>
        <w:shd w:val="clear" w:color="auto" w:fill="FFFFFF"/>
        <w:textAlignment w:val="baseline"/>
        <w:rPr>
          <w:rFonts w:ascii="Tw Cen MT" w:eastAsia="Times New Roman" w:hAnsi="Tw Cen MT" w:cs="Arial"/>
          <w:b/>
          <w:bCs/>
        </w:rPr>
      </w:pP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Disadvantages:</w:t>
      </w:r>
      <w:r w:rsidRPr="00D535CF">
        <w:rPr>
          <w:rFonts w:ascii="Tw Cen MT" w:eastAsia="Times New Roman" w:hAnsi="Tw Cen MT" w:cs="Arial"/>
        </w:rPr>
        <w:t xml:space="preserve"> On the other hand, efforts at fostering intrinsic motivation can be slow to affect behavior and can require special and lengthy preparation.  Students are individuals, so a variety of approaches may be needed to motivate different students. It is often helpful to know what interests one’s students in order to connect these interests with the subject matter. This requires getting to know one’s students. Also, it helps if the instructor is interested in the subject to begin </w:t>
      </w:r>
      <w:proofErr w:type="gramStart"/>
      <w:r w:rsidRPr="00D535CF">
        <w:rPr>
          <w:rFonts w:ascii="Tw Cen MT" w:eastAsia="Times New Roman" w:hAnsi="Tw Cen MT" w:cs="Arial"/>
        </w:rPr>
        <w:t>with</w:t>
      </w:r>
      <w:proofErr w:type="gramEnd"/>
      <w:r w:rsidRPr="00D535CF">
        <w:rPr>
          <w:rFonts w:ascii="Tw Cen MT" w:eastAsia="Times New Roman" w:hAnsi="Tw Cen MT" w:cs="Arial"/>
        </w:rPr>
        <w:t>!</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Source: Matt DeLong and Dale Winter, </w:t>
      </w:r>
      <w:r w:rsidRPr="00D535CF">
        <w:rPr>
          <w:rFonts w:ascii="Tw Cen MT" w:eastAsia="Times New Roman" w:hAnsi="Tw Cen MT" w:cs="Arial"/>
          <w:i/>
          <w:iCs/>
        </w:rPr>
        <w:t>Learning to Teaching and Teaching to Learn Mathematics: Resources for Professional Development</w:t>
      </w:r>
      <w:r w:rsidRPr="00D535CF">
        <w:rPr>
          <w:rFonts w:ascii="Tw Cen MT" w:eastAsia="Times New Roman" w:hAnsi="Tw Cen MT" w:cs="Arial"/>
        </w:rPr>
        <w:t>, Mathematical Association of America, 2002, page 163.</w:t>
      </w:r>
    </w:p>
    <w:p w:rsidR="00C0044F" w:rsidRPr="00D535CF" w:rsidRDefault="00C0044F" w:rsidP="000169A0">
      <w:pPr>
        <w:shd w:val="clear" w:color="auto" w:fill="FFFFFF"/>
        <w:textAlignment w:val="baseline"/>
        <w:rPr>
          <w:rFonts w:ascii="Tw Cen MT" w:eastAsia="Times New Roman" w:hAnsi="Tw Cen MT" w:cs="Arial"/>
        </w:rPr>
      </w:pPr>
    </w:p>
    <w:p w:rsidR="00C0044F" w:rsidRPr="00D535CF" w:rsidRDefault="00C0044F" w:rsidP="000169A0">
      <w:pPr>
        <w:shd w:val="clear" w:color="auto" w:fill="FFFFFF"/>
        <w:textAlignment w:val="baseline"/>
        <w:rPr>
          <w:rFonts w:ascii="Tw Cen MT" w:eastAsia="Times New Roman" w:hAnsi="Tw Cen MT" w:cs="Arial"/>
          <w:b/>
          <w:u w:val="single"/>
        </w:rPr>
      </w:pPr>
      <w:r w:rsidRPr="00D535CF">
        <w:rPr>
          <w:rFonts w:ascii="Tw Cen MT" w:eastAsia="Times New Roman" w:hAnsi="Tw Cen MT" w:cs="Arial"/>
          <w:b/>
          <w:u w:val="single"/>
        </w:rPr>
        <w:t>Extrinsic Motivation</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Extrinsic motivators</w:t>
      </w:r>
      <w:r w:rsidRPr="00D535CF">
        <w:rPr>
          <w:rFonts w:ascii="Tw Cen MT" w:eastAsia="Times New Roman" w:hAnsi="Tw Cen MT" w:cs="Arial"/>
        </w:rPr>
        <w:t> include parental expectations, expectations of other trusted role models, earning potential of a course of study, and grades (which keep scholarships coming).</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Students who are extrinsically motivated might say things like the following.</w:t>
      </w:r>
    </w:p>
    <w:p w:rsidR="00C0044F" w:rsidRPr="00D535CF" w:rsidRDefault="00C0044F" w:rsidP="000169A0">
      <w:pPr>
        <w:numPr>
          <w:ilvl w:val="0"/>
          <w:numId w:val="8"/>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“I need a B- in statistics to get into business school.”</w:t>
      </w:r>
    </w:p>
    <w:p w:rsidR="00C0044F" w:rsidRPr="00D535CF" w:rsidRDefault="00C0044F" w:rsidP="000169A0">
      <w:pPr>
        <w:numPr>
          <w:ilvl w:val="0"/>
          <w:numId w:val="8"/>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“If I flunk chemistry, I will lose my scholarship.”</w:t>
      </w:r>
    </w:p>
    <w:p w:rsidR="00C0044F" w:rsidRPr="00D535CF" w:rsidRDefault="00C0044F" w:rsidP="000169A0">
      <w:pPr>
        <w:numPr>
          <w:ilvl w:val="0"/>
          <w:numId w:val="8"/>
        </w:numPr>
        <w:shd w:val="clear" w:color="auto" w:fill="FFFFFF"/>
        <w:ind w:left="576"/>
        <w:textAlignment w:val="baseline"/>
        <w:rPr>
          <w:rFonts w:ascii="Tw Cen MT" w:eastAsia="Times New Roman" w:hAnsi="Tw Cen MT" w:cs="Arial"/>
        </w:rPr>
      </w:pPr>
      <w:r w:rsidRPr="00D535CF">
        <w:rPr>
          <w:rFonts w:ascii="Tw Cen MT" w:eastAsia="Times New Roman" w:hAnsi="Tw Cen MT" w:cs="Arial"/>
        </w:rPr>
        <w:t>“Our instructor will bring us donuts if we do well on today’s quiz.”</w:t>
      </w:r>
    </w:p>
    <w:p w:rsidR="00C0044F" w:rsidRPr="00D535CF" w:rsidRDefault="00C0044F" w:rsidP="000169A0">
      <w:pPr>
        <w:shd w:val="clear" w:color="auto" w:fill="FFFFFF"/>
        <w:textAlignment w:val="baseline"/>
        <w:rPr>
          <w:rFonts w:ascii="Tw Cen MT" w:eastAsia="Times New Roman" w:hAnsi="Tw Cen MT" w:cs="Arial"/>
          <w:b/>
          <w:bCs/>
        </w:rPr>
      </w:pP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Advantages: </w:t>
      </w:r>
      <w:r w:rsidRPr="00D535CF">
        <w:rPr>
          <w:rFonts w:ascii="Tw Cen MT" w:eastAsia="Times New Roman" w:hAnsi="Tw Cen MT" w:cs="Arial"/>
        </w:rPr>
        <w:t>Extrinsic motivators more readily produce behavior changes and typically involve relatively little effort or preparation. Also, efforts at applying extrinsic motivators often do not require extensive knowledge of individual students.</w:t>
      </w:r>
    </w:p>
    <w:p w:rsidR="00C0044F" w:rsidRPr="00D535CF" w:rsidRDefault="00C0044F" w:rsidP="000169A0">
      <w:pPr>
        <w:shd w:val="clear" w:color="auto" w:fill="FFFFFF"/>
        <w:textAlignment w:val="baseline"/>
        <w:rPr>
          <w:rFonts w:ascii="Tw Cen MT" w:eastAsia="Times New Roman" w:hAnsi="Tw Cen MT" w:cs="Arial"/>
          <w:b/>
          <w:bCs/>
        </w:rPr>
      </w:pP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b/>
          <w:bCs/>
        </w:rPr>
        <w:t>Disadvantages: </w:t>
      </w:r>
      <w:r w:rsidRPr="00D535CF">
        <w:rPr>
          <w:rFonts w:ascii="Tw Cen MT" w:eastAsia="Times New Roman" w:hAnsi="Tw Cen MT" w:cs="Arial"/>
        </w:rPr>
        <w:t>On the other hand, extrinsic motivators can often distract students from learning the subject at hand. It can be challenging to devise appropriate rewards and punishments for student behaviors. Often, one needs to escalate the rewards and punishments over time to maintain a certain effect level. Also, extrinsic motivators typically do not work over the long term. Once the rewards or punishments are removed, students lose their motivation.</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Source: Matt DeLong and Dale Winter, </w:t>
      </w:r>
      <w:r w:rsidRPr="00D535CF">
        <w:rPr>
          <w:rFonts w:ascii="Tw Cen MT" w:eastAsia="Times New Roman" w:hAnsi="Tw Cen MT" w:cs="Arial"/>
          <w:i/>
          <w:iCs/>
        </w:rPr>
        <w:t>Learning to Teaching and Teaching to Learn Mathematics: Resources for Professional Development</w:t>
      </w:r>
      <w:r w:rsidRPr="00D535CF">
        <w:rPr>
          <w:rFonts w:ascii="Tw Cen MT" w:eastAsia="Times New Roman" w:hAnsi="Tw Cen MT" w:cs="Arial"/>
        </w:rPr>
        <w:t>, Mathematical Association of America, 2002, page 163.</w:t>
      </w:r>
    </w:p>
    <w:p w:rsidR="000169A0" w:rsidRPr="00D535CF" w:rsidRDefault="000169A0" w:rsidP="000169A0">
      <w:pPr>
        <w:shd w:val="clear" w:color="auto" w:fill="FFFFFF"/>
        <w:textAlignment w:val="baseline"/>
        <w:rPr>
          <w:rFonts w:ascii="Tw Cen MT" w:eastAsia="Times New Roman" w:hAnsi="Tw Cen MT" w:cs="Arial"/>
        </w:rPr>
      </w:pP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Furthermore, research indicates that </w:t>
      </w:r>
      <w:r w:rsidRPr="00D535CF">
        <w:rPr>
          <w:rFonts w:ascii="Tw Cen MT" w:eastAsia="Times New Roman" w:hAnsi="Tw Cen MT" w:cs="Arial"/>
          <w:b/>
          <w:bCs/>
        </w:rPr>
        <w:t>extrinsic rewards can have a negative impact on intrinsic motivation</w:t>
      </w:r>
      <w:r w:rsidRPr="00D535CF">
        <w:rPr>
          <w:rFonts w:ascii="Tw Cen MT" w:eastAsia="Times New Roman" w:hAnsi="Tw Cen MT" w:cs="Arial"/>
        </w:rPr>
        <w:t xml:space="preserve">. In one series of experiments, psychologist Edward </w:t>
      </w:r>
      <w:proofErr w:type="spellStart"/>
      <w:r w:rsidRPr="00D535CF">
        <w:rPr>
          <w:rFonts w:ascii="Tw Cen MT" w:eastAsia="Times New Roman" w:hAnsi="Tw Cen MT" w:cs="Arial"/>
        </w:rPr>
        <w:t>Deci</w:t>
      </w:r>
      <w:proofErr w:type="spellEnd"/>
      <w:r w:rsidRPr="00D535CF">
        <w:rPr>
          <w:rFonts w:ascii="Tw Cen MT" w:eastAsia="Times New Roman" w:hAnsi="Tw Cen MT" w:cs="Arial"/>
        </w:rPr>
        <w:t xml:space="preserve"> had two groups of college </w:t>
      </w:r>
      <w:proofErr w:type="gramStart"/>
      <w:r w:rsidRPr="00D535CF">
        <w:rPr>
          <w:rFonts w:ascii="Tw Cen MT" w:eastAsia="Times New Roman" w:hAnsi="Tw Cen MT" w:cs="Arial"/>
        </w:rPr>
        <w:t>students</w:t>
      </w:r>
      <w:proofErr w:type="gramEnd"/>
      <w:r w:rsidRPr="00D535CF">
        <w:rPr>
          <w:rFonts w:ascii="Tw Cen MT" w:eastAsia="Times New Roman" w:hAnsi="Tw Cen MT" w:cs="Arial"/>
        </w:rPr>
        <w:t xml:space="preserve"> play with a puzzle called Soma. One group of students was paid for each puzzle they solved; the other wasn’t. He found that the group that was paid to solve puzzles stopped solving puzzles as soon as the experiment—and the payment—ended. However, the group that wasn’t paid kept solving the puzzles even after the experiment was over. They had found the puzzles </w:t>
      </w:r>
      <w:r w:rsidRPr="00D535CF">
        <w:rPr>
          <w:rFonts w:ascii="Tw Cen MT" w:eastAsia="Times New Roman" w:hAnsi="Tw Cen MT" w:cs="Arial"/>
        </w:rPr>
        <w:lastRenderedPageBreak/>
        <w:t xml:space="preserve">intrinsically interesting. </w:t>
      </w:r>
      <w:proofErr w:type="spellStart"/>
      <w:r w:rsidRPr="00D535CF">
        <w:rPr>
          <w:rFonts w:ascii="Tw Cen MT" w:eastAsia="Times New Roman" w:hAnsi="Tw Cen MT" w:cs="Arial"/>
        </w:rPr>
        <w:t>Deci</w:t>
      </w:r>
      <w:proofErr w:type="spellEnd"/>
      <w:r w:rsidRPr="00D535CF">
        <w:rPr>
          <w:rFonts w:ascii="Tw Cen MT" w:eastAsia="Times New Roman" w:hAnsi="Tw Cen MT" w:cs="Arial"/>
        </w:rPr>
        <w:t xml:space="preserve"> argued that the group that had been paid to solve puzzles might have found the puzzles intrinsically interesting as well, but the extrinsic, monetary reward had reduced their intrinsic interest.</w:t>
      </w:r>
    </w:p>
    <w:p w:rsidR="00C0044F" w:rsidRPr="00D535CF" w:rsidRDefault="00C0044F"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Source: Ken Bain, </w:t>
      </w:r>
      <w:r w:rsidRPr="00D535CF">
        <w:rPr>
          <w:rFonts w:ascii="Tw Cen MT" w:eastAsia="Times New Roman" w:hAnsi="Tw Cen MT" w:cs="Arial"/>
          <w:i/>
          <w:iCs/>
        </w:rPr>
        <w:t>What the Best College Teachers Do</w:t>
      </w:r>
      <w:r w:rsidRPr="00D535CF">
        <w:rPr>
          <w:rFonts w:ascii="Tw Cen MT" w:eastAsia="Times New Roman" w:hAnsi="Tw Cen MT" w:cs="Arial"/>
        </w:rPr>
        <w:t>, Harvard University Press, 2004, pages 32-33.</w:t>
      </w:r>
    </w:p>
    <w:p w:rsidR="00C0044F" w:rsidRPr="00D535CF" w:rsidRDefault="00C0044F" w:rsidP="000169A0">
      <w:pPr>
        <w:shd w:val="clear" w:color="auto" w:fill="FFFFFF"/>
        <w:textAlignment w:val="baseline"/>
        <w:rPr>
          <w:rFonts w:ascii="Tw Cen MT" w:eastAsia="Times New Roman" w:hAnsi="Tw Cen MT" w:cs="Arial"/>
          <w:b/>
          <w:u w:val="single"/>
        </w:rPr>
      </w:pPr>
    </w:p>
    <w:p w:rsidR="00C0044F" w:rsidRPr="00D535CF" w:rsidRDefault="000169A0" w:rsidP="000169A0">
      <w:pPr>
        <w:shd w:val="clear" w:color="auto" w:fill="FFFFFF"/>
        <w:textAlignment w:val="baseline"/>
        <w:rPr>
          <w:rFonts w:ascii="Tw Cen MT" w:hAnsi="Tw Cen MT"/>
        </w:rPr>
      </w:pPr>
      <w:r w:rsidRPr="00D535CF">
        <w:rPr>
          <w:rFonts w:ascii="Tw Cen MT" w:eastAsia="Times New Roman" w:hAnsi="Tw Cen MT" w:cs="Arial"/>
          <w:b/>
          <w:u w:val="single"/>
        </w:rPr>
        <w:t>A Model of Intrinsic Motivation</w:t>
      </w:r>
    </w:p>
    <w:p w:rsidR="000169A0" w:rsidRPr="00D535CF" w:rsidRDefault="000169A0" w:rsidP="000169A0">
      <w:pPr>
        <w:numPr>
          <w:ilvl w:val="0"/>
          <w:numId w:val="9"/>
        </w:numPr>
        <w:shd w:val="clear" w:color="auto" w:fill="FFFFFF"/>
        <w:ind w:left="450"/>
        <w:textAlignment w:val="baseline"/>
        <w:rPr>
          <w:rFonts w:ascii="Tw Cen MT" w:eastAsia="Times New Roman" w:hAnsi="Tw Cen MT" w:cs="Arial"/>
        </w:rPr>
      </w:pPr>
      <w:r w:rsidRPr="00D535CF">
        <w:rPr>
          <w:rFonts w:ascii="Tw Cen MT" w:eastAsia="Times New Roman" w:hAnsi="Tw Cen MT" w:cs="Arial"/>
          <w:b/>
          <w:bCs/>
        </w:rPr>
        <w:t>Deep learners </w:t>
      </w:r>
      <w:r w:rsidRPr="00D535CF">
        <w:rPr>
          <w:rFonts w:ascii="Tw Cen MT" w:eastAsia="Times New Roman" w:hAnsi="Tw Cen MT" w:cs="Arial"/>
        </w:rPr>
        <w:t>respond well to the challenge of mastering a difficult and complex subject. These are intrinsically motivated students who are often a joy to teach!</w:t>
      </w:r>
    </w:p>
    <w:p w:rsidR="000169A0" w:rsidRPr="00D535CF" w:rsidRDefault="000169A0" w:rsidP="000169A0">
      <w:pPr>
        <w:numPr>
          <w:ilvl w:val="0"/>
          <w:numId w:val="9"/>
        </w:numPr>
        <w:shd w:val="clear" w:color="auto" w:fill="FFFFFF"/>
        <w:ind w:left="450"/>
        <w:textAlignment w:val="baseline"/>
        <w:rPr>
          <w:rFonts w:ascii="Tw Cen MT" w:eastAsia="Times New Roman" w:hAnsi="Tw Cen MT" w:cs="Arial"/>
        </w:rPr>
      </w:pPr>
      <w:r w:rsidRPr="00D535CF">
        <w:rPr>
          <w:rFonts w:ascii="Tw Cen MT" w:eastAsia="Times New Roman" w:hAnsi="Tw Cen MT" w:cs="Arial"/>
          <w:b/>
          <w:bCs/>
        </w:rPr>
        <w:t>Strategic learners</w:t>
      </w:r>
      <w:r w:rsidRPr="00D535CF">
        <w:rPr>
          <w:rFonts w:ascii="Tw Cen MT" w:eastAsia="Times New Roman" w:hAnsi="Tw Cen MT" w:cs="Arial"/>
        </w:rPr>
        <w:t> are motivated primarily by rewards. They react well to competition and the opportunity to best others. They often make good grades but won’t engage deeply with a subject unless there is a clear reward for doing so. They are sometimes called “bulimic learners,” learning as much as they need to do well on a test or exam and then promptly forgetting the material once the assessment is over.</w:t>
      </w:r>
      <w:r w:rsidR="00DF560A">
        <w:rPr>
          <w:rFonts w:ascii="Tw Cen MT" w:eastAsia="Times New Roman" w:hAnsi="Tw Cen MT" w:cs="Arial"/>
        </w:rPr>
        <w:t xml:space="preserve"> </w:t>
      </w:r>
      <w:r w:rsidRPr="00D535CF">
        <w:rPr>
          <w:rFonts w:ascii="Tw Cen MT" w:eastAsia="Times New Roman" w:hAnsi="Tw Cen MT" w:cs="Arial"/>
        </w:rPr>
        <w:t>Handle strategic learners by avoiding appeals to competition. Appeal to their intrinsic interest in the subject at hand. Design your assignments (tests, papers, projects, etc.) so that deep engagement with the subject is necessary for success on the assignments. Do so by requiring students to apply, synthesize, or evaluate material instead of merely comprehending or memorizing material.</w:t>
      </w:r>
    </w:p>
    <w:p w:rsidR="000169A0" w:rsidRPr="00D535CF" w:rsidRDefault="000169A0" w:rsidP="000169A0">
      <w:pPr>
        <w:numPr>
          <w:ilvl w:val="0"/>
          <w:numId w:val="9"/>
        </w:numPr>
        <w:shd w:val="clear" w:color="auto" w:fill="FFFFFF"/>
        <w:ind w:left="450"/>
        <w:textAlignment w:val="baseline"/>
        <w:rPr>
          <w:rFonts w:ascii="Tw Cen MT" w:eastAsia="Times New Roman" w:hAnsi="Tw Cen MT" w:cs="Arial"/>
        </w:rPr>
      </w:pPr>
      <w:r w:rsidRPr="00D535CF">
        <w:rPr>
          <w:rFonts w:ascii="Tw Cen MT" w:eastAsia="Times New Roman" w:hAnsi="Tw Cen MT" w:cs="Arial"/>
          <w:b/>
          <w:bCs/>
        </w:rPr>
        <w:t>Surface learners</w:t>
      </w:r>
      <w:r w:rsidRPr="00D535CF">
        <w:rPr>
          <w:rFonts w:ascii="Tw Cen MT" w:eastAsia="Times New Roman" w:hAnsi="Tw Cen MT" w:cs="Arial"/>
        </w:rPr>
        <w:t> are often motivated by a desire to avoid failure. They typically avoid deep learning because it they see it as inherently risky behavior. They will often do what it takes to pass an exam or course, but they won’t choose to go beyond the minimum required for fear of failure.</w:t>
      </w:r>
      <w:r w:rsidR="00513C19">
        <w:rPr>
          <w:rFonts w:ascii="Tw Cen MT" w:eastAsia="Times New Roman" w:hAnsi="Tw Cen MT" w:cs="Arial"/>
        </w:rPr>
        <w:t xml:space="preserve"> </w:t>
      </w:r>
      <w:r w:rsidRPr="00D535CF">
        <w:rPr>
          <w:rFonts w:ascii="Tw Cen MT" w:eastAsia="Times New Roman" w:hAnsi="Tw Cen MT" w:cs="Arial"/>
        </w:rPr>
        <w:t>Handle surface learners by helping them gain confidence in their abilities to learn and perform. “Scaffold” course material and assignments by designing a series of activities or assignments that build on each other over time in complexity and challenge. Encourage these learners often and help them reflect on what they’ve learned and what they’ve accomplished.</w:t>
      </w:r>
    </w:p>
    <w:p w:rsidR="000169A0" w:rsidRPr="00D535CF" w:rsidRDefault="000169A0" w:rsidP="000169A0">
      <w:pPr>
        <w:shd w:val="clear" w:color="auto" w:fill="FFFFFF"/>
        <w:textAlignment w:val="baseline"/>
        <w:rPr>
          <w:rFonts w:ascii="Tw Cen MT" w:eastAsia="Times New Roman" w:hAnsi="Tw Cen MT" w:cs="Arial"/>
        </w:rPr>
      </w:pPr>
      <w:r w:rsidRPr="00D535CF">
        <w:rPr>
          <w:rFonts w:ascii="Tw Cen MT" w:eastAsia="Times New Roman" w:hAnsi="Tw Cen MT" w:cs="Arial"/>
        </w:rPr>
        <w:t>Source: Ken Bain, </w:t>
      </w:r>
      <w:r w:rsidRPr="00D535CF">
        <w:rPr>
          <w:rFonts w:ascii="Tw Cen MT" w:eastAsia="Times New Roman" w:hAnsi="Tw Cen MT" w:cs="Arial"/>
          <w:i/>
          <w:iCs/>
        </w:rPr>
        <w:t>What the Best College Teachers Do</w:t>
      </w:r>
      <w:r w:rsidRPr="00D535CF">
        <w:rPr>
          <w:rFonts w:ascii="Tw Cen MT" w:eastAsia="Times New Roman" w:hAnsi="Tw Cen MT" w:cs="Arial"/>
        </w:rPr>
        <w:t>, Harvard University Press, 2004, pages 40-41.</w:t>
      </w:r>
    </w:p>
    <w:p w:rsidR="00B35081" w:rsidRPr="00D535CF" w:rsidRDefault="00B35081" w:rsidP="000169A0">
      <w:pPr>
        <w:rPr>
          <w:rFonts w:ascii="Tw Cen MT" w:eastAsia="Times New Roman" w:hAnsi="Tw Cen MT"/>
          <w:bCs/>
        </w:rPr>
      </w:pPr>
    </w:p>
    <w:p w:rsidR="00B35081" w:rsidRPr="00D535CF" w:rsidRDefault="00B35081" w:rsidP="000169A0">
      <w:pPr>
        <w:rPr>
          <w:rFonts w:ascii="Tw Cen MT" w:eastAsia="Times New Roman" w:hAnsi="Tw Cen MT"/>
          <w:b/>
          <w:bCs/>
        </w:rPr>
      </w:pPr>
      <w:r w:rsidRPr="00D535CF">
        <w:rPr>
          <w:rFonts w:ascii="Tw Cen MT" w:eastAsia="Times New Roman" w:hAnsi="Tw Cen MT"/>
          <w:b/>
          <w:bCs/>
        </w:rPr>
        <w:br w:type="page"/>
      </w:r>
    </w:p>
    <w:p w:rsidR="00B35081" w:rsidRDefault="00B35081" w:rsidP="00090D36">
      <w:pPr>
        <w:shd w:val="clear" w:color="auto" w:fill="FFFFFF"/>
        <w:ind w:right="244"/>
        <w:jc w:val="center"/>
        <w:outlineLvl w:val="3"/>
        <w:rPr>
          <w:rFonts w:ascii="Tw Cen MT" w:eastAsia="Times New Roman" w:hAnsi="Tw Cen MT"/>
          <w:b/>
          <w:bCs/>
          <w:sz w:val="28"/>
        </w:rPr>
      </w:pPr>
      <w:r w:rsidRPr="00090D36">
        <w:rPr>
          <w:rFonts w:ascii="Tw Cen MT" w:eastAsia="Times New Roman" w:hAnsi="Tw Cen MT"/>
          <w:b/>
          <w:bCs/>
          <w:sz w:val="28"/>
        </w:rPr>
        <w:lastRenderedPageBreak/>
        <w:t>Tips for Motivating Students</w:t>
      </w:r>
      <w:r w:rsidRPr="00090D36">
        <w:rPr>
          <w:rStyle w:val="FootnoteReference"/>
          <w:rFonts w:ascii="Tw Cen MT" w:eastAsia="Times New Roman" w:hAnsi="Tw Cen MT"/>
          <w:b/>
          <w:bCs/>
          <w:sz w:val="28"/>
        </w:rPr>
        <w:footnoteReference w:id="1"/>
      </w:r>
    </w:p>
    <w:p w:rsidR="00513C19" w:rsidRPr="00513C19" w:rsidRDefault="00513C19" w:rsidP="00090D36">
      <w:pPr>
        <w:shd w:val="clear" w:color="auto" w:fill="FFFFFF"/>
        <w:ind w:right="244"/>
        <w:jc w:val="center"/>
        <w:outlineLvl w:val="3"/>
        <w:rPr>
          <w:rFonts w:ascii="Tw Cen MT" w:eastAsia="Times New Roman" w:hAnsi="Tw Cen MT"/>
          <w:b/>
          <w:bCs/>
          <w:sz w:val="28"/>
        </w:rPr>
      </w:pPr>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Make it real</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In order to foster intrinsic motivation, try to create learning activities that are based on topics that are relevant to your students' lives. Strategies include using local examples, teaching with events in the news, using pop culture technology (iPods, cell phones, YouTube videos) to teach, or connecting the subject with your students' culture, outside interests or social lives. (</w:t>
      </w:r>
      <w:hyperlink r:id="rId9" w:history="1">
        <w:r w:rsidRPr="00D535CF">
          <w:rPr>
            <w:rFonts w:ascii="Tw Cen MT" w:eastAsia="Times New Roman" w:hAnsi="Tw Cen MT"/>
            <w:u w:val="single"/>
          </w:rPr>
          <w:t>[</w:t>
        </w:r>
        <w:proofErr w:type="spellStart"/>
        <w:r w:rsidRPr="00D535CF">
          <w:rPr>
            <w:rFonts w:ascii="Tw Cen MT" w:eastAsia="Times New Roman" w:hAnsi="Tw Cen MT"/>
            <w:u w:val="single"/>
          </w:rPr>
          <w:t>Brozo</w:t>
        </w:r>
        <w:proofErr w:type="spellEnd"/>
        <w:r w:rsidRPr="00D535CF">
          <w:rPr>
            <w:rFonts w:ascii="Tw Cen MT" w:eastAsia="Times New Roman" w:hAnsi="Tw Cen MT"/>
            <w:u w:val="single"/>
          </w:rPr>
          <w:t>, 2005]</w:t>
        </w:r>
      </w:hyperlink>
      <w:r w:rsidRPr="00D535CF">
        <w:rPr>
          <w:rFonts w:ascii="Tw Cen MT" w:eastAsia="Times New Roman" w:hAnsi="Tw Cen MT"/>
        </w:rPr>
        <w:t> ; McMahon and Kelly, 1996)</w:t>
      </w:r>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Provide choices</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Students can have increased motivation when they feel some sense of autonomy in the learning process, and that motivation declines when students have no voice in the class structure. Giving your students options can be as simple as letting them pick their lab partners or select from alternate assignments, or as complex as "contract teaching" wherein students can determine their own grading scale, due dates and assignments. </w:t>
      </w:r>
      <w:proofErr w:type="spellStart"/>
      <w:r w:rsidR="00BB2FE7" w:rsidRPr="00D535CF">
        <w:rPr>
          <w:rFonts w:ascii="Tw Cen MT" w:eastAsia="Times New Roman" w:hAnsi="Tw Cen MT"/>
        </w:rPr>
        <w:fldChar w:fldCharType="begin"/>
      </w:r>
      <w:r w:rsidRPr="00D535CF">
        <w:rPr>
          <w:rFonts w:ascii="Tw Cen MT" w:eastAsia="Times New Roman" w:hAnsi="Tw Cen MT"/>
        </w:rPr>
        <w:instrText xml:space="preserve"> HYPERLINK "http://serc.carleton.edu/resources/37493.html" </w:instrText>
      </w:r>
      <w:r w:rsidR="00BB2FE7" w:rsidRPr="00D535CF">
        <w:rPr>
          <w:rFonts w:ascii="Tw Cen MT" w:eastAsia="Times New Roman" w:hAnsi="Tw Cen MT"/>
        </w:rPr>
        <w:fldChar w:fldCharType="separate"/>
      </w:r>
      <w:r w:rsidRPr="00D535CF">
        <w:rPr>
          <w:rFonts w:ascii="Tw Cen MT" w:eastAsia="Times New Roman" w:hAnsi="Tw Cen MT"/>
          <w:u w:val="single"/>
        </w:rPr>
        <w:t>Kurvink</w:t>
      </w:r>
      <w:proofErr w:type="spellEnd"/>
      <w:r w:rsidRPr="00D535CF">
        <w:rPr>
          <w:rFonts w:ascii="Tw Cen MT" w:eastAsia="Times New Roman" w:hAnsi="Tw Cen MT"/>
          <w:u w:val="single"/>
        </w:rPr>
        <w:t>, 1993</w:t>
      </w:r>
      <w:r w:rsidR="00BB2FE7" w:rsidRPr="00D535CF">
        <w:rPr>
          <w:rFonts w:ascii="Tw Cen MT" w:eastAsia="Times New Roman" w:hAnsi="Tw Cen MT"/>
        </w:rPr>
        <w:fldChar w:fldCharType="end"/>
      </w:r>
      <w:r w:rsidRPr="00D535CF">
        <w:rPr>
          <w:rFonts w:ascii="Tw Cen MT" w:eastAsia="Times New Roman" w:hAnsi="Tw Cen MT"/>
        </w:rPr>
        <w:t> </w:t>
      </w:r>
      <w:hyperlink r:id="rId10" w:history="1">
        <w:r w:rsidRPr="00D535CF">
          <w:rPr>
            <w:rFonts w:ascii="Tw Cen MT" w:eastAsia="Times New Roman" w:hAnsi="Tw Cen MT"/>
            <w:u w:val="single"/>
          </w:rPr>
          <w:t xml:space="preserve">Reeve and </w:t>
        </w:r>
        <w:proofErr w:type="spellStart"/>
        <w:r w:rsidRPr="00D535CF">
          <w:rPr>
            <w:rFonts w:ascii="Tw Cen MT" w:eastAsia="Times New Roman" w:hAnsi="Tw Cen MT"/>
            <w:u w:val="single"/>
          </w:rPr>
          <w:t>Hyungshim</w:t>
        </w:r>
        <w:proofErr w:type="spellEnd"/>
        <w:r w:rsidRPr="00D535CF">
          <w:rPr>
            <w:rFonts w:ascii="Tw Cen MT" w:eastAsia="Times New Roman" w:hAnsi="Tw Cen MT"/>
            <w:u w:val="single"/>
          </w:rPr>
          <w:t>, 2006</w:t>
        </w:r>
      </w:hyperlink>
      <w:r w:rsidRPr="00D535CF">
        <w:rPr>
          <w:rFonts w:ascii="Tw Cen MT" w:eastAsia="Times New Roman" w:hAnsi="Tw Cen MT"/>
        </w:rPr>
        <w:t> (Perkins 2002, </w:t>
      </w:r>
      <w:hyperlink r:id="rId11" w:history="1">
        <w:r w:rsidRPr="00D535CF">
          <w:rPr>
            <w:rFonts w:ascii="Tw Cen MT" w:eastAsia="Times New Roman" w:hAnsi="Tw Cen MT"/>
            <w:u w:val="single"/>
          </w:rPr>
          <w:t>GSA Abstract</w:t>
        </w:r>
      </w:hyperlink>
      <w:r w:rsidRPr="00D535CF">
        <w:rPr>
          <w:rFonts w:ascii="Tw Cen MT" w:eastAsia="Times New Roman" w:hAnsi="Tw Cen MT"/>
        </w:rPr>
        <w:t>)</w:t>
      </w:r>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Balance the challenge</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Students perform best when the level of difficulty is slightly above their current ability level. If the task is too easy, it promotes boredom and may communicate a message of low expectations or a sense that the teacher believes the student is not capable of better work. A task that is too difficult may be seen as unattainable, may undermine self-efficacy, and may create anxiety. Scaffolding is one instructional technique where the challenge level is gradually raised as students are capable of more complex tasks. </w:t>
      </w:r>
      <w:hyperlink r:id="rId12" w:history="1">
        <w:r w:rsidRPr="00D535CF">
          <w:rPr>
            <w:rFonts w:ascii="Tw Cen MT" w:eastAsia="Times New Roman" w:hAnsi="Tw Cen MT"/>
            <w:u w:val="single"/>
          </w:rPr>
          <w:t>(Wang and Han)</w:t>
        </w:r>
      </w:hyperlink>
      <w:r w:rsidRPr="00D535CF">
        <w:rPr>
          <w:rFonts w:ascii="Tw Cen MT" w:eastAsia="Times New Roman" w:hAnsi="Tw Cen MT"/>
        </w:rPr>
        <w:t>, </w:t>
      </w:r>
      <w:hyperlink r:id="rId13" w:history="1">
        <w:r w:rsidRPr="00D535CF">
          <w:rPr>
            <w:rFonts w:ascii="Tw Cen MT" w:eastAsia="Times New Roman" w:hAnsi="Tw Cen MT"/>
            <w:u w:val="single"/>
          </w:rPr>
          <w:t>[Margolis and McCabe, 2006]</w:t>
        </w:r>
      </w:hyperlink>
      <w:r w:rsidRPr="00D535CF">
        <w:rPr>
          <w:rFonts w:ascii="Tw Cen MT" w:eastAsia="Times New Roman" w:hAnsi="Tw Cen MT"/>
        </w:rPr>
        <w:t> </w:t>
      </w:r>
      <w:hyperlink r:id="rId14" w:history="1">
        <w:r w:rsidRPr="00D535CF">
          <w:rPr>
            <w:rFonts w:ascii="Tw Cen MT" w:eastAsia="Times New Roman" w:hAnsi="Tw Cen MT"/>
            <w:u w:val="single"/>
          </w:rPr>
          <w:t>[Adams, 1998]</w:t>
        </w:r>
      </w:hyperlink>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Seek role models</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 xml:space="preserve">If students can identify with role models they may be more likely to see the relevance in the subject matter. For example, </w:t>
      </w:r>
      <w:proofErr w:type="spellStart"/>
      <w:r w:rsidRPr="00D535CF">
        <w:rPr>
          <w:rFonts w:ascii="Tw Cen MT" w:eastAsia="Times New Roman" w:hAnsi="Tw Cen MT"/>
        </w:rPr>
        <w:t>Weins</w:t>
      </w:r>
      <w:proofErr w:type="spellEnd"/>
      <w:r w:rsidRPr="00D535CF">
        <w:rPr>
          <w:rFonts w:ascii="Tw Cen MT" w:eastAsia="Times New Roman" w:hAnsi="Tw Cen MT"/>
        </w:rPr>
        <w:t xml:space="preserve"> et al (2003) found that female students were more likely to cite a positive influence with a teacher as a factor for becoming interested in science </w:t>
      </w:r>
      <w:hyperlink r:id="rId15" w:history="1">
        <w:r w:rsidRPr="00D535CF">
          <w:rPr>
            <w:rFonts w:ascii="Tw Cen MT" w:eastAsia="Times New Roman" w:hAnsi="Tw Cen MT"/>
            <w:u w:val="single"/>
          </w:rPr>
          <w:t>[</w:t>
        </w:r>
        <w:proofErr w:type="spellStart"/>
        <w:r w:rsidRPr="00D535CF">
          <w:rPr>
            <w:rFonts w:ascii="Tw Cen MT" w:eastAsia="Times New Roman" w:hAnsi="Tw Cen MT"/>
            <w:u w:val="single"/>
          </w:rPr>
          <w:t>Wiens</w:t>
        </w:r>
        <w:proofErr w:type="spellEnd"/>
        <w:r w:rsidRPr="00D535CF">
          <w:rPr>
            <w:rFonts w:ascii="Tw Cen MT" w:eastAsia="Times New Roman" w:hAnsi="Tw Cen MT"/>
            <w:u w:val="single"/>
          </w:rPr>
          <w:t xml:space="preserve"> et al, 2003]</w:t>
        </w:r>
      </w:hyperlink>
      <w:r w:rsidRPr="00D535CF">
        <w:rPr>
          <w:rFonts w:ascii="Tw Cen MT" w:eastAsia="Times New Roman" w:hAnsi="Tw Cen MT"/>
        </w:rPr>
        <w:t> . In some cases, you can be a role model but it's unlikely that you will connect on that level with everyone in the class due to differences in gender, age and social circles. However there can be many sources of role models, such as invited guest speakers, fellow students or other peers.</w:t>
      </w:r>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Use peer models</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Students can learn by watching a peer succeed at a task. In this context, a peer means someone who the student identifies with, not necessarily any other student. Peers may be drawn from groups as defined by gender, ethnicity, social circles, interests, achievement level, clothing, or age.</w:t>
      </w:r>
      <w:hyperlink r:id="rId16" w:history="1">
        <w:r w:rsidRPr="00D535CF">
          <w:rPr>
            <w:rFonts w:ascii="Tw Cen MT" w:eastAsia="Times New Roman" w:hAnsi="Tw Cen MT"/>
            <w:u w:val="single"/>
          </w:rPr>
          <w:t>[Margolis and McCabe, 2006]</w:t>
        </w:r>
      </w:hyperlink>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Establish a sense of belonging</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People have a fundamental need to feel connected or related to other people. In an academic environment, research shows that students who feel they 'belong' have a higher degree of intrinsic motivation and academic confidence. According to students, their sense of belonging is fostered by an instructor that demonstrates warmth and openness, encourages student participation, is enthusiastic, friendly and helpful, and is organized and prepared for class.</w:t>
      </w:r>
      <w:hyperlink r:id="rId17" w:history="1">
        <w:r w:rsidRPr="00D535CF">
          <w:rPr>
            <w:rFonts w:ascii="Tw Cen MT" w:eastAsia="Times New Roman" w:hAnsi="Tw Cen MT"/>
            <w:u w:val="single"/>
          </w:rPr>
          <w:t xml:space="preserve">[Freeman, </w:t>
        </w:r>
        <w:proofErr w:type="spellStart"/>
        <w:r w:rsidRPr="00D535CF">
          <w:rPr>
            <w:rFonts w:ascii="Tw Cen MT" w:eastAsia="Times New Roman" w:hAnsi="Tw Cen MT"/>
            <w:u w:val="single"/>
          </w:rPr>
          <w:t>Anderman</w:t>
        </w:r>
        <w:proofErr w:type="spellEnd"/>
        <w:r w:rsidRPr="00D535CF">
          <w:rPr>
            <w:rFonts w:ascii="Tw Cen MT" w:eastAsia="Times New Roman" w:hAnsi="Tw Cen MT"/>
            <w:u w:val="single"/>
          </w:rPr>
          <w:t xml:space="preserve"> and Jensen, 2007]</w:t>
        </w:r>
      </w:hyperlink>
      <w:r w:rsidRPr="00D535CF">
        <w:rPr>
          <w:rFonts w:ascii="Tw Cen MT" w:eastAsia="Times New Roman" w:hAnsi="Tw Cen MT"/>
        </w:rPr>
        <w:t> </w:t>
      </w:r>
      <w:hyperlink r:id="rId18" w:history="1">
        <w:r w:rsidRPr="00D535CF">
          <w:rPr>
            <w:rFonts w:ascii="Tw Cen MT" w:eastAsia="Times New Roman" w:hAnsi="Tw Cen MT"/>
            <w:u w:val="single"/>
          </w:rPr>
          <w:t>[</w:t>
        </w:r>
        <w:proofErr w:type="spellStart"/>
        <w:r w:rsidRPr="00D535CF">
          <w:rPr>
            <w:rFonts w:ascii="Tw Cen MT" w:eastAsia="Times New Roman" w:hAnsi="Tw Cen MT"/>
            <w:u w:val="single"/>
          </w:rPr>
          <w:t>Anderman</w:t>
        </w:r>
        <w:proofErr w:type="spellEnd"/>
        <w:r w:rsidRPr="00D535CF">
          <w:rPr>
            <w:rFonts w:ascii="Tw Cen MT" w:eastAsia="Times New Roman" w:hAnsi="Tw Cen MT"/>
            <w:u w:val="single"/>
          </w:rPr>
          <w:t xml:space="preserve"> and </w:t>
        </w:r>
        <w:proofErr w:type="spellStart"/>
        <w:r w:rsidRPr="00D535CF">
          <w:rPr>
            <w:rFonts w:ascii="Tw Cen MT" w:eastAsia="Times New Roman" w:hAnsi="Tw Cen MT"/>
            <w:u w:val="single"/>
          </w:rPr>
          <w:t>Leake</w:t>
        </w:r>
        <w:proofErr w:type="spellEnd"/>
        <w:r w:rsidRPr="00D535CF">
          <w:rPr>
            <w:rFonts w:ascii="Tw Cen MT" w:eastAsia="Times New Roman" w:hAnsi="Tw Cen MT"/>
            <w:u w:val="single"/>
          </w:rPr>
          <w:t>, 2005]</w:t>
        </w:r>
      </w:hyperlink>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Adopt a supportive style</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lastRenderedPageBreak/>
        <w:t>A supportive teaching style that allows for student autonomy can foster increased student interest, enjoyment, engagement and performance. Supportive teacher behaviors include listening, giving hints and encouragement, being responsive to student questions and showing empathy for students. </w:t>
      </w:r>
      <w:hyperlink r:id="rId19" w:history="1">
        <w:r w:rsidRPr="00D535CF">
          <w:rPr>
            <w:rFonts w:ascii="Tw Cen MT" w:eastAsia="Times New Roman" w:hAnsi="Tw Cen MT"/>
            <w:u w:val="single"/>
          </w:rPr>
          <w:t xml:space="preserve">Reeve and </w:t>
        </w:r>
        <w:proofErr w:type="spellStart"/>
        <w:r w:rsidRPr="00D535CF">
          <w:rPr>
            <w:rFonts w:ascii="Tw Cen MT" w:eastAsia="Times New Roman" w:hAnsi="Tw Cen MT"/>
            <w:u w:val="single"/>
          </w:rPr>
          <w:t>Hyungshim</w:t>
        </w:r>
        <w:proofErr w:type="spellEnd"/>
        <w:r w:rsidRPr="00D535CF">
          <w:rPr>
            <w:rFonts w:ascii="Tw Cen MT" w:eastAsia="Times New Roman" w:hAnsi="Tw Cen MT"/>
            <w:u w:val="single"/>
          </w:rPr>
          <w:t>, 2006</w:t>
        </w:r>
      </w:hyperlink>
    </w:p>
    <w:p w:rsidR="00B35081" w:rsidRPr="00D535CF" w:rsidRDefault="00B35081" w:rsidP="000169A0">
      <w:pPr>
        <w:numPr>
          <w:ilvl w:val="0"/>
          <w:numId w:val="3"/>
        </w:numPr>
        <w:shd w:val="clear" w:color="auto" w:fill="FFFFFF"/>
        <w:ind w:left="964" w:right="244"/>
        <w:outlineLvl w:val="3"/>
        <w:rPr>
          <w:rFonts w:ascii="Tw Cen MT" w:eastAsia="Times New Roman" w:hAnsi="Tw Cen MT"/>
          <w:b/>
          <w:bCs/>
        </w:rPr>
      </w:pPr>
      <w:r w:rsidRPr="00D535CF">
        <w:rPr>
          <w:rFonts w:ascii="Tw Cen MT" w:eastAsia="Times New Roman" w:hAnsi="Tw Cen MT"/>
          <w:b/>
          <w:bCs/>
        </w:rPr>
        <w:t>Strategize with struggling students</w:t>
      </w:r>
    </w:p>
    <w:p w:rsidR="00B35081" w:rsidRPr="00D535CF" w:rsidRDefault="00B35081" w:rsidP="000169A0">
      <w:pPr>
        <w:shd w:val="clear" w:color="auto" w:fill="FFFFFF"/>
        <w:ind w:left="964" w:right="244"/>
        <w:rPr>
          <w:rFonts w:ascii="Tw Cen MT" w:eastAsia="Times New Roman" w:hAnsi="Tw Cen MT"/>
        </w:rPr>
      </w:pPr>
      <w:r w:rsidRPr="00D535CF">
        <w:rPr>
          <w:rFonts w:ascii="Tw Cen MT" w:eastAsia="Times New Roman" w:hAnsi="Tw Cen MT"/>
        </w:rPr>
        <w:t>When students are struggling with poor academic performance, low self-efficacy or low motivation, one strategy that may help is to teach them </w:t>
      </w:r>
      <w:r w:rsidRPr="00D535CF">
        <w:rPr>
          <w:rFonts w:ascii="Tw Cen MT" w:eastAsia="Times New Roman" w:hAnsi="Tw Cen MT"/>
          <w:i/>
          <w:iCs/>
        </w:rPr>
        <w:t>how</w:t>
      </w:r>
      <w:r w:rsidRPr="00D535CF">
        <w:rPr>
          <w:rFonts w:ascii="Tw Cen MT" w:eastAsia="Times New Roman" w:hAnsi="Tw Cen MT"/>
        </w:rPr>
        <w:t> to learn. That is, to outline specific strategies for completing an assignment, note-taking or reviewing for an exam. </w:t>
      </w:r>
      <w:hyperlink r:id="rId20" w:history="1">
        <w:r w:rsidRPr="00D535CF">
          <w:rPr>
            <w:rFonts w:ascii="Tw Cen MT" w:eastAsia="Times New Roman" w:hAnsi="Tw Cen MT"/>
            <w:u w:val="single"/>
          </w:rPr>
          <w:t>[Tuckerman 2003]</w:t>
        </w:r>
      </w:hyperlink>
      <w:r w:rsidRPr="00D535CF">
        <w:rPr>
          <w:rFonts w:ascii="Tw Cen MT" w:eastAsia="Times New Roman" w:hAnsi="Tw Cen MT"/>
        </w:rPr>
        <w:t> </w:t>
      </w:r>
      <w:hyperlink r:id="rId21" w:history="1">
        <w:r w:rsidRPr="00D535CF">
          <w:rPr>
            <w:rFonts w:ascii="Tw Cen MT" w:eastAsia="Times New Roman" w:hAnsi="Tw Cen MT"/>
            <w:u w:val="single"/>
          </w:rPr>
          <w:t>[Margolis and McCabe, 2006]</w:t>
        </w:r>
      </w:hyperlink>
    </w:p>
    <w:p w:rsidR="00DB1A7E" w:rsidRPr="00D535CF" w:rsidRDefault="00DB1A7E">
      <w:pPr>
        <w:rPr>
          <w:rFonts w:ascii="Tw Cen MT" w:hAnsi="Tw Cen MT" w:cs="Arial"/>
        </w:rPr>
      </w:pPr>
    </w:p>
    <w:p w:rsidR="00C24D39" w:rsidRPr="00D535CF" w:rsidRDefault="00C24D39">
      <w:pPr>
        <w:rPr>
          <w:rFonts w:ascii="Tw Cen MT" w:hAnsi="Tw Cen MT" w:cs="Arial"/>
        </w:rPr>
      </w:pPr>
    </w:p>
    <w:p w:rsidR="00DB4A10" w:rsidRPr="00D535CF" w:rsidRDefault="00DB4A10">
      <w:pPr>
        <w:rPr>
          <w:rFonts w:ascii="Tw Cen MT" w:hAnsi="Tw Cen MT" w:cs="Arial"/>
        </w:rPr>
      </w:pPr>
      <w:r w:rsidRPr="00D535CF">
        <w:rPr>
          <w:rFonts w:ascii="Tw Cen MT" w:hAnsi="Tw Cen MT" w:cs="Arial"/>
        </w:rPr>
        <w:br w:type="page"/>
      </w:r>
    </w:p>
    <w:p w:rsidR="00DB1A7E" w:rsidRDefault="00DB1A7E" w:rsidP="00090D36">
      <w:pPr>
        <w:jc w:val="center"/>
        <w:rPr>
          <w:rFonts w:ascii="Tw Cen MT" w:hAnsi="Tw Cen MT" w:cs="Arial"/>
          <w:b/>
          <w:sz w:val="28"/>
        </w:rPr>
      </w:pPr>
      <w:r w:rsidRPr="00090D36">
        <w:rPr>
          <w:rFonts w:ascii="Tw Cen MT" w:hAnsi="Tw Cen MT" w:cs="Arial"/>
          <w:b/>
          <w:sz w:val="28"/>
        </w:rPr>
        <w:lastRenderedPageBreak/>
        <w:t>Social Pedagogy: Authentic Audiences</w:t>
      </w:r>
    </w:p>
    <w:p w:rsidR="00513C19" w:rsidRPr="00090D36" w:rsidRDefault="00513C19" w:rsidP="00090D36">
      <w:pPr>
        <w:jc w:val="center"/>
        <w:rPr>
          <w:rFonts w:ascii="Tw Cen MT" w:hAnsi="Tw Cen MT" w:cs="Arial"/>
          <w:b/>
          <w:sz w:val="28"/>
        </w:rPr>
      </w:pPr>
    </w:p>
    <w:p w:rsidR="000169A0" w:rsidRPr="00D535CF" w:rsidRDefault="00DB1A7E" w:rsidP="00DB1A7E">
      <w:pPr>
        <w:pStyle w:val="ListParagraph"/>
        <w:numPr>
          <w:ilvl w:val="0"/>
          <w:numId w:val="12"/>
        </w:numPr>
        <w:rPr>
          <w:rStyle w:val="apple-converted-space"/>
          <w:rFonts w:ascii="Tw Cen MT" w:eastAsia="Times New Roman" w:hAnsi="Tw Cen MT" w:cs="Arial"/>
        </w:rPr>
      </w:pPr>
      <w:r w:rsidRPr="00D535CF">
        <w:rPr>
          <w:rFonts w:ascii="Tw Cen MT" w:hAnsi="Tw Cen MT" w:cs="Arial"/>
        </w:rPr>
        <w:t xml:space="preserve">Authentic Audiences: </w:t>
      </w:r>
      <w:r w:rsidRPr="00D535CF">
        <w:rPr>
          <w:rStyle w:val="Emphasis"/>
          <w:rFonts w:ascii="Tw Cen MT" w:hAnsi="Tw Cen MT"/>
          <w:i w:val="0"/>
          <w:shd w:val="clear" w:color="auto" w:fill="FFFFFF"/>
        </w:rPr>
        <w:t>“social pedagogies” describe a cluster of teaching practices that “engage students with… an ‘authentic audience’ (other than the teacher) where the representation of knowledge for an audience is absolutely central to the construction of knowledge in a course.”</w:t>
      </w:r>
      <w:r w:rsidRPr="00D535CF">
        <w:rPr>
          <w:rStyle w:val="FootnoteReference"/>
          <w:rFonts w:ascii="Tw Cen MT" w:hAnsi="Tw Cen MT"/>
          <w:iCs/>
          <w:shd w:val="clear" w:color="auto" w:fill="FFFFFF"/>
        </w:rPr>
        <w:footnoteReference w:id="2"/>
      </w:r>
      <w:r w:rsidRPr="00D535CF">
        <w:rPr>
          <w:rStyle w:val="apple-converted-space"/>
          <w:rFonts w:ascii="Tw Cen MT" w:hAnsi="Tw Cen MT"/>
          <w:i/>
          <w:iCs/>
          <w:shd w:val="clear" w:color="auto" w:fill="FFFFFF"/>
        </w:rPr>
        <w:t> </w:t>
      </w:r>
    </w:p>
    <w:p w:rsidR="00C24D39" w:rsidRPr="00D535CF" w:rsidRDefault="00C24D39" w:rsidP="00C24D39">
      <w:pPr>
        <w:pStyle w:val="ListParagraph"/>
        <w:numPr>
          <w:ilvl w:val="0"/>
          <w:numId w:val="12"/>
        </w:numPr>
        <w:rPr>
          <w:rStyle w:val="apple-converted-space"/>
          <w:rFonts w:ascii="Tw Cen MT" w:eastAsia="Times New Roman" w:hAnsi="Tw Cen MT" w:cs="Arial"/>
        </w:rPr>
      </w:pPr>
      <w:r w:rsidRPr="00D535CF">
        <w:rPr>
          <w:rFonts w:ascii="Tw Cen MT" w:hAnsi="Tw Cen MT"/>
          <w:shd w:val="clear" w:color="auto" w:fill="FFFFFF"/>
        </w:rPr>
        <w:t>Students write more carefully and reflectively when they write for their peers than when they write for their professors.  A student will often turn in a paper expecting that a professor will fill in the gaps if she/he skips steps in his/her explanation or if they are unclear in explaining things.  Because their peers cannot do this, they have to work harder to clarify.  In general, they want to share their ideas with peers and will try harder.</w:t>
      </w:r>
    </w:p>
    <w:p w:rsidR="00C24D39" w:rsidRPr="00D535CF" w:rsidRDefault="00C24D39" w:rsidP="00DB1A7E">
      <w:pPr>
        <w:pStyle w:val="ListParagraph"/>
        <w:numPr>
          <w:ilvl w:val="0"/>
          <w:numId w:val="12"/>
        </w:numPr>
        <w:rPr>
          <w:rStyle w:val="apple-converted-space"/>
          <w:rFonts w:ascii="Tw Cen MT" w:eastAsia="Times New Roman" w:hAnsi="Tw Cen MT" w:cs="Arial"/>
        </w:rPr>
      </w:pPr>
      <w:r w:rsidRPr="00D535CF">
        <w:rPr>
          <w:rStyle w:val="apple-converted-space"/>
          <w:rFonts w:ascii="Tw Cen MT" w:hAnsi="Tw Cen MT"/>
          <w:iCs/>
          <w:shd w:val="clear" w:color="auto" w:fill="FFFFFF"/>
        </w:rPr>
        <w:t>Examples:</w:t>
      </w:r>
    </w:p>
    <w:p w:rsidR="00C24D39" w:rsidRPr="00D535CF" w:rsidRDefault="00C24D39" w:rsidP="00C24D39">
      <w:pPr>
        <w:pStyle w:val="ListParagraph"/>
        <w:numPr>
          <w:ilvl w:val="1"/>
          <w:numId w:val="12"/>
        </w:numPr>
        <w:rPr>
          <w:rStyle w:val="apple-converted-space"/>
          <w:rFonts w:ascii="Tw Cen MT" w:eastAsia="Times New Roman" w:hAnsi="Tw Cen MT" w:cs="Arial"/>
        </w:rPr>
      </w:pPr>
      <w:r w:rsidRPr="00D535CF">
        <w:rPr>
          <w:rStyle w:val="apple-converted-space"/>
          <w:rFonts w:ascii="Tw Cen MT" w:hAnsi="Tw Cen MT"/>
          <w:iCs/>
          <w:shd w:val="clear" w:color="auto" w:fill="FFFFFF"/>
        </w:rPr>
        <w:t>In-class blogs or wiki</w:t>
      </w:r>
    </w:p>
    <w:p w:rsidR="00C24D39" w:rsidRPr="00D535CF" w:rsidRDefault="00C24D39" w:rsidP="00C24D39">
      <w:pPr>
        <w:pStyle w:val="ListParagraph"/>
        <w:numPr>
          <w:ilvl w:val="1"/>
          <w:numId w:val="12"/>
        </w:numPr>
        <w:rPr>
          <w:rStyle w:val="apple-converted-space"/>
          <w:rFonts w:ascii="Tw Cen MT" w:eastAsia="Times New Roman" w:hAnsi="Tw Cen MT" w:cs="Arial"/>
        </w:rPr>
      </w:pPr>
      <w:r w:rsidRPr="00D535CF">
        <w:rPr>
          <w:rStyle w:val="apple-converted-space"/>
          <w:rFonts w:ascii="Tw Cen MT" w:hAnsi="Tw Cen MT"/>
          <w:iCs/>
          <w:shd w:val="clear" w:color="auto" w:fill="FFFFFF"/>
        </w:rPr>
        <w:t>Poster sessions</w:t>
      </w:r>
    </w:p>
    <w:p w:rsidR="00C24D39" w:rsidRPr="00D535CF" w:rsidRDefault="00C24D39" w:rsidP="00C24D39">
      <w:pPr>
        <w:pStyle w:val="ListParagraph"/>
        <w:numPr>
          <w:ilvl w:val="1"/>
          <w:numId w:val="12"/>
        </w:numPr>
        <w:rPr>
          <w:rStyle w:val="apple-converted-space"/>
          <w:rFonts w:ascii="Tw Cen MT" w:eastAsia="Times New Roman" w:hAnsi="Tw Cen MT" w:cs="Arial"/>
        </w:rPr>
      </w:pPr>
      <w:r w:rsidRPr="00D535CF">
        <w:rPr>
          <w:rStyle w:val="apple-converted-space"/>
          <w:rFonts w:ascii="Tw Cen MT" w:hAnsi="Tw Cen MT"/>
          <w:iCs/>
          <w:shd w:val="clear" w:color="auto" w:fill="FFFFFF"/>
        </w:rPr>
        <w:t>Letters to the author (of book read in class and evaluated)</w:t>
      </w:r>
    </w:p>
    <w:p w:rsidR="00C24D39" w:rsidRPr="00D535CF" w:rsidRDefault="00C24D39" w:rsidP="00C24D39">
      <w:pPr>
        <w:pStyle w:val="ListParagraph"/>
        <w:numPr>
          <w:ilvl w:val="1"/>
          <w:numId w:val="12"/>
        </w:numPr>
        <w:rPr>
          <w:rStyle w:val="apple-converted-space"/>
          <w:rFonts w:ascii="Tw Cen MT" w:eastAsia="Times New Roman" w:hAnsi="Tw Cen MT" w:cs="Arial"/>
        </w:rPr>
      </w:pPr>
      <w:r w:rsidRPr="00D535CF">
        <w:rPr>
          <w:rStyle w:val="apple-converted-space"/>
          <w:rFonts w:ascii="Tw Cen MT" w:hAnsi="Tw Cen MT"/>
          <w:iCs/>
          <w:shd w:val="clear" w:color="auto" w:fill="FFFFFF"/>
        </w:rPr>
        <w:t>Paper presentations</w:t>
      </w:r>
    </w:p>
    <w:p w:rsidR="00C24D39" w:rsidRPr="00D535CF" w:rsidRDefault="00C24D39">
      <w:pPr>
        <w:rPr>
          <w:rFonts w:ascii="Tw Cen MT" w:eastAsia="Times New Roman" w:hAnsi="Tw Cen MT" w:cs="Arial"/>
        </w:rPr>
      </w:pPr>
    </w:p>
    <w:p w:rsidR="00C24D39" w:rsidRPr="00D535CF" w:rsidRDefault="00C24D39">
      <w:pPr>
        <w:rPr>
          <w:rFonts w:ascii="Tw Cen MT" w:eastAsia="Times New Roman" w:hAnsi="Tw Cen MT" w:cs="Arial"/>
        </w:rPr>
      </w:pPr>
    </w:p>
    <w:p w:rsidR="00DB4A10" w:rsidRPr="00D535CF" w:rsidRDefault="00DB4A10" w:rsidP="00DB4A10">
      <w:pPr>
        <w:pStyle w:val="NormalWeb"/>
        <w:shd w:val="clear" w:color="auto" w:fill="FFFFFF"/>
        <w:spacing w:before="0" w:beforeAutospacing="0" w:after="0" w:afterAutospacing="0"/>
        <w:rPr>
          <w:rStyle w:val="Emphasis"/>
          <w:rFonts w:ascii="Tw Cen MT" w:hAnsi="Tw Cen MT"/>
          <w:b/>
        </w:rPr>
      </w:pPr>
      <w:r w:rsidRPr="00D535CF">
        <w:rPr>
          <w:rStyle w:val="Emphasis"/>
          <w:rFonts w:ascii="Tw Cen MT" w:hAnsi="Tw Cen MT"/>
          <w:b/>
        </w:rPr>
        <w:t>What are social pedagogies? Why focus on them?</w:t>
      </w:r>
      <w:r w:rsidRPr="00D535CF">
        <w:rPr>
          <w:rStyle w:val="FootnoteReference"/>
          <w:rFonts w:ascii="Tw Cen MT" w:hAnsi="Tw Cen MT"/>
          <w:b/>
          <w:i/>
          <w:iCs/>
        </w:rPr>
        <w:footnoteReference w:id="3"/>
      </w:r>
    </w:p>
    <w:p w:rsidR="00DB4A10" w:rsidRPr="00D535CF" w:rsidRDefault="00DB4A10" w:rsidP="00DB4A10">
      <w:pPr>
        <w:pStyle w:val="NormalWeb"/>
        <w:shd w:val="clear" w:color="auto" w:fill="FFFFFF"/>
        <w:spacing w:before="0" w:beforeAutospacing="0" w:after="0" w:afterAutospacing="0"/>
        <w:rPr>
          <w:rFonts w:ascii="Tw Cen MT" w:hAnsi="Tw Cen MT"/>
        </w:rPr>
      </w:pPr>
      <w:r w:rsidRPr="00D535CF">
        <w:rPr>
          <w:rFonts w:ascii="Tw Cen MT" w:hAnsi="Tw Cen MT"/>
          <w:sz w:val="22"/>
          <w:szCs w:val="22"/>
        </w:rPr>
        <w:t>Excerpted from Designing for Difficulty: Social Pedagogies as a Framework for Course Design by Randy Bass and Heidi Elmendorf (Georgetown)</w:t>
      </w:r>
    </w:p>
    <w:p w:rsidR="00DB4A10" w:rsidRPr="00D535CF" w:rsidRDefault="00DB4A10" w:rsidP="00DB4A10">
      <w:pPr>
        <w:pStyle w:val="NormalWeb"/>
        <w:shd w:val="clear" w:color="auto" w:fill="FFFFFF"/>
        <w:spacing w:before="0" w:beforeAutospacing="0" w:after="0" w:afterAutospacing="0"/>
        <w:ind w:firstLine="720"/>
        <w:rPr>
          <w:rFonts w:ascii="Tw Cen MT" w:hAnsi="Tw Cen MT"/>
        </w:rPr>
      </w:pPr>
      <w:r w:rsidRPr="00D535CF">
        <w:rPr>
          <w:rFonts w:ascii="Tw Cen MT" w:hAnsi="Tw Cen MT"/>
        </w:rPr>
        <w:t>The rise of Web-based participatory culture, social media, and networked information has put the realm of the “social” at the center of what it means to share and build knowledge in our culture. Yet, we have only begun to understand the ways that the “social life of information” and the social construction of knowledge can reshape the ways we create learning experiences in the formal college curriculum.  We believe though that the deepening role of social dimension in learning—which we take broadly to include all representational acts as constitutive of knowledge—is as yet very little understood, not only with respect to technology-enhanced classrooms but broadly across all learning contexts. That is why our approach is to look at a range of teaching contexts from those where digital media tools are central to the course design to those where no digital technologies are involved at all, and hybrid contexts in between.</w:t>
      </w:r>
    </w:p>
    <w:p w:rsidR="00DB4A10" w:rsidRPr="00D535CF" w:rsidRDefault="00DB4A10" w:rsidP="00DB4A10">
      <w:pPr>
        <w:pStyle w:val="NormalWeb"/>
        <w:shd w:val="clear" w:color="auto" w:fill="FFFFFF"/>
        <w:spacing w:before="0" w:beforeAutospacing="0" w:after="0" w:afterAutospacing="0"/>
        <w:rPr>
          <w:rFonts w:ascii="Tw Cen MT" w:hAnsi="Tw Cen MT"/>
        </w:rPr>
      </w:pPr>
      <w:r w:rsidRPr="00D535CF">
        <w:rPr>
          <w:rFonts w:ascii="Tw Cen MT" w:hAnsi="Tw Cen MT"/>
        </w:rPr>
        <w:t>With this in mind, we define</w:t>
      </w:r>
      <w:r w:rsidRPr="00D535CF">
        <w:rPr>
          <w:rStyle w:val="apple-converted-space"/>
          <w:rFonts w:ascii="Tw Cen MT" w:hAnsi="Tw Cen MT"/>
        </w:rPr>
        <w:t> </w:t>
      </w:r>
      <w:r w:rsidRPr="00D535CF">
        <w:rPr>
          <w:rStyle w:val="Emphasis"/>
          <w:rFonts w:ascii="Tw Cen MT" w:hAnsi="Tw Cen MT"/>
        </w:rPr>
        <w:t>social pedagogies</w:t>
      </w:r>
      <w:r w:rsidRPr="00D535CF">
        <w:rPr>
          <w:rStyle w:val="apple-converted-space"/>
          <w:rFonts w:ascii="Tw Cen MT" w:hAnsi="Tw Cen MT"/>
        </w:rPr>
        <w:t> </w:t>
      </w:r>
      <w:r w:rsidRPr="00D535CF">
        <w:rPr>
          <w:rFonts w:ascii="Tw Cen MT" w:hAnsi="Tw Cen MT"/>
        </w:rPr>
        <w:t>as design approaches for teaching and learning that engage students with what we might call an “authentic audience” (other than the teacher), where the</w:t>
      </w:r>
      <w:r w:rsidRPr="00D535CF">
        <w:rPr>
          <w:rStyle w:val="apple-converted-space"/>
          <w:rFonts w:ascii="Tw Cen MT" w:hAnsi="Tw Cen MT"/>
        </w:rPr>
        <w:t> </w:t>
      </w:r>
      <w:r w:rsidRPr="00D535CF">
        <w:rPr>
          <w:rStyle w:val="Emphasis"/>
          <w:rFonts w:ascii="Tw Cen MT" w:hAnsi="Tw Cen MT"/>
        </w:rPr>
        <w:t>representation of knowledge</w:t>
      </w:r>
      <w:r w:rsidRPr="00D535CF">
        <w:rPr>
          <w:rStyle w:val="apple-converted-space"/>
          <w:rFonts w:ascii="Tw Cen MT" w:hAnsi="Tw Cen MT"/>
          <w:i/>
          <w:iCs/>
        </w:rPr>
        <w:t> </w:t>
      </w:r>
      <w:r w:rsidRPr="00D535CF">
        <w:rPr>
          <w:rFonts w:ascii="Tw Cen MT" w:hAnsi="Tw Cen MT"/>
        </w:rPr>
        <w:t>for an audience is absolutely central to the</w:t>
      </w:r>
      <w:r w:rsidRPr="00D535CF">
        <w:rPr>
          <w:rStyle w:val="apple-converted-space"/>
          <w:rFonts w:ascii="Tw Cen MT" w:hAnsi="Tw Cen MT"/>
        </w:rPr>
        <w:t> </w:t>
      </w:r>
      <w:r w:rsidRPr="00D535CF">
        <w:rPr>
          <w:rStyle w:val="Emphasis"/>
          <w:rFonts w:ascii="Tw Cen MT" w:hAnsi="Tw Cen MT"/>
        </w:rPr>
        <w:t>construction of knowledge</w:t>
      </w:r>
      <w:r w:rsidRPr="00D535CF">
        <w:rPr>
          <w:rStyle w:val="apple-converted-space"/>
          <w:rFonts w:ascii="Tw Cen MT" w:hAnsi="Tw Cen MT"/>
        </w:rPr>
        <w:t> </w:t>
      </w:r>
      <w:r w:rsidRPr="00D535CF">
        <w:rPr>
          <w:rFonts w:ascii="Tw Cen MT" w:hAnsi="Tw Cen MT"/>
        </w:rPr>
        <w:t>in a course. Social pedagogies build in iterative cycles of engagement with the most difficult material, and through a focus on authentic audience and representation of knowledge for others, help students deepen their understanding of core concepts by engaging in the ways of thinking, practicing, and communicating in a field.  Ideally, social pedagogies strive to build a sense of intellectual community within the classroom and frequently connect students to communities outside the classroom.</w:t>
      </w:r>
    </w:p>
    <w:p w:rsidR="00DB4A10" w:rsidRPr="00D535CF" w:rsidRDefault="00DB4A10" w:rsidP="00DB4A10">
      <w:pPr>
        <w:pStyle w:val="NormalWeb"/>
        <w:shd w:val="clear" w:color="auto" w:fill="FFFFFF"/>
        <w:spacing w:before="0" w:beforeAutospacing="0" w:after="0" w:afterAutospacing="0"/>
        <w:ind w:firstLine="720"/>
        <w:rPr>
          <w:rFonts w:ascii="Tw Cen MT" w:hAnsi="Tw Cen MT"/>
        </w:rPr>
      </w:pPr>
      <w:r w:rsidRPr="00D535CF">
        <w:rPr>
          <w:rFonts w:ascii="Tw Cen MT" w:hAnsi="Tw Cen MT"/>
        </w:rPr>
        <w:t>Our interest in the importance of focusing on the</w:t>
      </w:r>
      <w:r w:rsidRPr="00D535CF">
        <w:rPr>
          <w:rStyle w:val="apple-converted-space"/>
          <w:rFonts w:ascii="Tw Cen MT" w:hAnsi="Tw Cen MT"/>
        </w:rPr>
        <w:t> </w:t>
      </w:r>
      <w:r w:rsidRPr="00D535CF">
        <w:rPr>
          <w:rStyle w:val="Emphasis"/>
          <w:rFonts w:ascii="Tw Cen MT" w:hAnsi="Tw Cen MT"/>
        </w:rPr>
        <w:t>social</w:t>
      </w:r>
      <w:r w:rsidRPr="00D535CF">
        <w:rPr>
          <w:rStyle w:val="apple-converted-space"/>
          <w:rFonts w:ascii="Tw Cen MT" w:hAnsi="Tw Cen MT"/>
          <w:i/>
          <w:iCs/>
        </w:rPr>
        <w:t> </w:t>
      </w:r>
      <w:r w:rsidRPr="00D535CF">
        <w:rPr>
          <w:rFonts w:ascii="Tw Cen MT" w:hAnsi="Tw Cen MT"/>
        </w:rPr>
        <w:t xml:space="preserve">dimensions of learning can be located at the intersection of three important discourses. On the one hand, social pedagogies are a way of understanding what is often referred to as </w:t>
      </w:r>
      <w:r w:rsidRPr="00D535CF">
        <w:rPr>
          <w:rStyle w:val="Emphasis"/>
          <w:rFonts w:ascii="Tw Cen MT" w:hAnsi="Tw Cen MT"/>
        </w:rPr>
        <w:t>authentic learning</w:t>
      </w:r>
      <w:r w:rsidRPr="00D535CF">
        <w:rPr>
          <w:rFonts w:ascii="Tw Cen MT" w:hAnsi="Tw Cen MT"/>
        </w:rPr>
        <w:t xml:space="preserve">. Authentic learning activities have “real-world relevance,” set problems for students that are “ill-defined” and complex, provide opportunities for students to examine and address the task from multiple </w:t>
      </w:r>
      <w:r w:rsidRPr="00D535CF">
        <w:rPr>
          <w:rFonts w:ascii="Tw Cen MT" w:hAnsi="Tw Cen MT"/>
        </w:rPr>
        <w:lastRenderedPageBreak/>
        <w:t>perspectives, and give students ample opportunities to collaborate, reflect on their learning, and integrate their knowledge in various ways.</w:t>
      </w:r>
    </w:p>
    <w:p w:rsidR="00DB4A10" w:rsidRPr="00D535CF" w:rsidRDefault="00DB4A10" w:rsidP="00DB4A10">
      <w:pPr>
        <w:pStyle w:val="NormalWeb"/>
        <w:shd w:val="clear" w:color="auto" w:fill="FFFFFF"/>
        <w:spacing w:before="0" w:beforeAutospacing="0" w:after="0" w:afterAutospacing="0"/>
        <w:ind w:firstLine="720"/>
        <w:rPr>
          <w:rFonts w:ascii="Tw Cen MT" w:hAnsi="Tw Cen MT"/>
        </w:rPr>
      </w:pPr>
      <w:r w:rsidRPr="00D535CF">
        <w:rPr>
          <w:rFonts w:ascii="Tw Cen MT" w:hAnsi="Tw Cen MT"/>
        </w:rPr>
        <w:t>Secondly, we are interested in the specific learning traits that emerge from these “authentic learning” situations. In particular, we have long hypothesized that social pedagogies are particularly effective at developing traits of  “adaptive expertise,” which include the ability of the learner to use knowledge flexibly and fluently, to evaluate, filter and distill knowledge for effect, to translate knowledge to new situations, and to understand the limits and assumptions of one’s knowledge.  Equally as important is the cultivation of certain attitudes or dispositions characteristic of adaptive experts, including the ability to work with uncertainty, adapt to ambiguity or even failure, and to feel increasingly comfortable working at the edges of one’s competence.</w:t>
      </w:r>
      <w:r w:rsidRPr="00D535CF">
        <w:rPr>
          <w:rStyle w:val="apple-converted-space"/>
          <w:rFonts w:ascii="Tw Cen MT" w:hAnsi="Tw Cen MT"/>
        </w:rPr>
        <w:t> </w:t>
      </w:r>
      <w:r w:rsidRPr="00D535CF">
        <w:rPr>
          <w:rFonts w:ascii="Tw Cen MT" w:hAnsi="Tw Cen MT"/>
        </w:rPr>
        <w:t>Although these are considered traits of “adaptive expertise,” they are increasingly being seen as essential</w:t>
      </w:r>
      <w:r w:rsidRPr="00D535CF">
        <w:rPr>
          <w:rStyle w:val="apple-converted-space"/>
          <w:rFonts w:ascii="Tw Cen MT" w:hAnsi="Tw Cen MT"/>
        </w:rPr>
        <w:t> </w:t>
      </w:r>
      <w:r w:rsidRPr="00D535CF">
        <w:rPr>
          <w:rStyle w:val="Emphasis"/>
          <w:rFonts w:ascii="Tw Cen MT" w:hAnsi="Tw Cen MT"/>
        </w:rPr>
        <w:t>liberal learning</w:t>
      </w:r>
      <w:r w:rsidRPr="00D535CF">
        <w:rPr>
          <w:rStyle w:val="apple-converted-space"/>
          <w:rFonts w:ascii="Tw Cen MT" w:hAnsi="Tw Cen MT"/>
        </w:rPr>
        <w:t> </w:t>
      </w:r>
      <w:r w:rsidRPr="00D535CF">
        <w:rPr>
          <w:rFonts w:ascii="Tw Cen MT" w:hAnsi="Tw Cen MT"/>
        </w:rPr>
        <w:t>traits and as such the kinds of skills and dispositions that we want to be cultivating in novice learners as early as possible in college. A focus of this project was to explore the ways that social pedagogies might be especially effective at cultivating traits of adaptive expertise with novice learners in contexts typical of general education and liberal education contexts.</w:t>
      </w:r>
    </w:p>
    <w:p w:rsidR="00DB4A10" w:rsidRPr="00D535CF" w:rsidRDefault="00DB4A10" w:rsidP="00DB4A10">
      <w:pPr>
        <w:pStyle w:val="NormalWeb"/>
        <w:shd w:val="clear" w:color="auto" w:fill="FFFFFF"/>
        <w:spacing w:before="0" w:beforeAutospacing="0" w:after="0" w:afterAutospacing="0"/>
        <w:ind w:firstLine="720"/>
        <w:rPr>
          <w:rFonts w:ascii="Tw Cen MT" w:hAnsi="Tw Cen MT"/>
        </w:rPr>
      </w:pPr>
      <w:r w:rsidRPr="00D535CF">
        <w:rPr>
          <w:rFonts w:ascii="Tw Cen MT" w:hAnsi="Tw Cen MT"/>
        </w:rPr>
        <w:t>These kinds of adaptive traits—however valued they may be in the academy in the</w:t>
      </w:r>
      <w:r w:rsidRPr="00D535CF">
        <w:rPr>
          <w:rStyle w:val="apple-converted-space"/>
          <w:rFonts w:ascii="Tw Cen MT" w:hAnsi="Tw Cen MT"/>
        </w:rPr>
        <w:t> </w:t>
      </w:r>
      <w:r w:rsidRPr="00D535CF">
        <w:rPr>
          <w:rStyle w:val="Emphasis"/>
          <w:rFonts w:ascii="Tw Cen MT" w:hAnsi="Tw Cen MT"/>
        </w:rPr>
        <w:t>abstract</w:t>
      </w:r>
      <w:r w:rsidRPr="00D535CF">
        <w:rPr>
          <w:rFonts w:ascii="Tw Cen MT" w:hAnsi="Tw Cen MT"/>
        </w:rPr>
        <w:t xml:space="preserve">—are often invisible and elusive in the course design and assessment process.  Designing a course that promotes, supports, and perhaps even evaluates these kinds of traits students implies that they have to be ways to make these effects visible—through some form of communication. </w:t>
      </w:r>
      <w:proofErr w:type="gramStart"/>
      <w:r w:rsidRPr="00D535CF">
        <w:rPr>
          <w:rFonts w:ascii="Tw Cen MT" w:hAnsi="Tw Cen MT"/>
        </w:rPr>
        <w:t>And making them visible means, as well, means being conscious of them and increasingly reflective about them.</w:t>
      </w:r>
      <w:proofErr w:type="gramEnd"/>
      <w:r w:rsidRPr="00D535CF">
        <w:rPr>
          <w:rFonts w:ascii="Tw Cen MT" w:hAnsi="Tw Cen MT"/>
        </w:rPr>
        <w:t xml:space="preserve"> This is one of the primary ways we see representation (and the social dimensions of learning) residing at the center of authentic learning (in both process and product). Representation of knowledge for others—whether as an author or maker, a teacher, a discussant or maker of arguments—implies that a learner has to step outside him or herself, to think about audience, context, and </w:t>
      </w:r>
      <w:proofErr w:type="gramStart"/>
      <w:r w:rsidRPr="00D535CF">
        <w:rPr>
          <w:rFonts w:ascii="Tw Cen MT" w:hAnsi="Tw Cen MT"/>
        </w:rPr>
        <w:t>impact.</w:t>
      </w:r>
      <w:proofErr w:type="gramEnd"/>
      <w:r w:rsidRPr="00D535CF">
        <w:rPr>
          <w:rFonts w:ascii="Tw Cen MT" w:hAnsi="Tw Cen MT"/>
        </w:rPr>
        <w:t xml:space="preserve"> Acts of representation are not merely vehicles to convey knowledge; they shape the very act of knowing.</w:t>
      </w:r>
    </w:p>
    <w:p w:rsidR="00DB4A10" w:rsidRPr="00D535CF" w:rsidRDefault="00DB4A10" w:rsidP="00DB4A10">
      <w:pPr>
        <w:pStyle w:val="NormalWeb"/>
        <w:shd w:val="clear" w:color="auto" w:fill="FFFFFF"/>
        <w:spacing w:before="0" w:beforeAutospacing="0" w:after="0" w:afterAutospacing="0"/>
        <w:ind w:firstLine="720"/>
        <w:rPr>
          <w:rFonts w:ascii="Tw Cen MT" w:hAnsi="Tw Cen MT"/>
        </w:rPr>
      </w:pPr>
      <w:r w:rsidRPr="00D535CF">
        <w:rPr>
          <w:rFonts w:ascii="Tw Cen MT" w:hAnsi="Tw Cen MT"/>
        </w:rPr>
        <w:t>We also believe that this approach provides us a set of lenses for learning more about the function of learning in formal classroom environments that start to take on some of the characteristics of Web-based “participatory cultures” where members of a community of practice find strong support for sharing their contributions, where members feel a sense of connectedness to each other, or that at least there is a shared sense of investment in what is being created, and a sense that something “is at stake” in the work being produced, either individually or collectively.</w:t>
      </w:r>
      <w:r w:rsidRPr="00D535CF">
        <w:rPr>
          <w:rStyle w:val="apple-converted-space"/>
          <w:rFonts w:ascii="Tw Cen MT" w:hAnsi="Tw Cen MT"/>
        </w:rPr>
        <w:t> </w:t>
      </w:r>
      <w:r w:rsidRPr="00D535CF">
        <w:rPr>
          <w:rFonts w:ascii="Tw Cen MT" w:hAnsi="Tw Cen MT"/>
        </w:rPr>
        <w:t xml:space="preserve">These are characteristics shared by many </w:t>
      </w:r>
      <w:r w:rsidRPr="00D535CF">
        <w:rPr>
          <w:rStyle w:val="Emphasis"/>
          <w:rFonts w:ascii="Tw Cen MT" w:hAnsi="Tw Cen MT"/>
        </w:rPr>
        <w:t>informal</w:t>
      </w:r>
      <w:r w:rsidRPr="00D535CF">
        <w:rPr>
          <w:rStyle w:val="apple-converted-space"/>
          <w:rFonts w:ascii="Tw Cen MT" w:hAnsi="Tw Cen MT"/>
        </w:rPr>
        <w:t> </w:t>
      </w:r>
      <w:r w:rsidRPr="00D535CF">
        <w:rPr>
          <w:rFonts w:ascii="Tw Cen MT" w:hAnsi="Tw Cen MT"/>
        </w:rPr>
        <w:t>learning environments. One of the salient research areas for higher education (and indeed other settings, such as organizational learning) is how to harness the effectiveness of informal learning in the formal curriculum.</w:t>
      </w:r>
    </w:p>
    <w:p w:rsidR="00DB4A10" w:rsidRPr="00D535CF" w:rsidRDefault="00DB4A10" w:rsidP="00DB4A10">
      <w:pPr>
        <w:pStyle w:val="NormalWeb"/>
        <w:shd w:val="clear" w:color="auto" w:fill="FFFFFF"/>
        <w:spacing w:before="0" w:beforeAutospacing="0" w:after="0" w:afterAutospacing="0"/>
        <w:rPr>
          <w:rFonts w:ascii="Tw Cen MT" w:hAnsi="Tw Cen MT"/>
        </w:rPr>
      </w:pPr>
      <w:r w:rsidRPr="00D535CF">
        <w:rPr>
          <w:rStyle w:val="Emphasis"/>
          <w:rFonts w:ascii="Tw Cen MT" w:hAnsi="Tw Cen MT"/>
        </w:rPr>
        <w:t>In short, social pedagogies are ways of seeing how acts of communication and representation connect authentic tasks to learning processes, learning process to adaptive practices, practices to learning environments and intellectual communities, and how the constellation of these elements help students integrate their learning by connecting to larger contexts for knowledge and action.</w:t>
      </w:r>
    </w:p>
    <w:p w:rsidR="00B447D6" w:rsidRPr="00D535CF" w:rsidRDefault="00B447D6">
      <w:pPr>
        <w:rPr>
          <w:rFonts w:ascii="Tw Cen MT" w:eastAsia="Times New Roman" w:hAnsi="Tw Cen MT" w:cs="Arial"/>
          <w:b/>
        </w:rPr>
      </w:pPr>
      <w:r w:rsidRPr="00D535CF">
        <w:rPr>
          <w:rFonts w:ascii="Tw Cen MT" w:eastAsia="Times New Roman" w:hAnsi="Tw Cen MT" w:cs="Arial"/>
          <w:b/>
        </w:rPr>
        <w:br w:type="page"/>
      </w:r>
    </w:p>
    <w:p w:rsidR="00B447D6" w:rsidRDefault="00B447D6" w:rsidP="00B447D6">
      <w:pPr>
        <w:jc w:val="center"/>
        <w:rPr>
          <w:rFonts w:ascii="Tw Cen MT" w:eastAsia="Times New Roman" w:hAnsi="Tw Cen MT" w:cs="Arial"/>
          <w:b/>
          <w:sz w:val="28"/>
        </w:rPr>
      </w:pPr>
      <w:r w:rsidRPr="00D535CF">
        <w:rPr>
          <w:rFonts w:ascii="Tw Cen MT" w:eastAsia="Times New Roman" w:hAnsi="Tw Cen MT" w:cs="Arial"/>
          <w:b/>
          <w:sz w:val="28"/>
        </w:rPr>
        <w:lastRenderedPageBreak/>
        <w:t xml:space="preserve">Principles </w:t>
      </w:r>
      <w:proofErr w:type="gramStart"/>
      <w:r w:rsidRPr="00D535CF">
        <w:rPr>
          <w:rFonts w:ascii="Tw Cen MT" w:eastAsia="Times New Roman" w:hAnsi="Tw Cen MT" w:cs="Arial"/>
          <w:b/>
          <w:sz w:val="28"/>
        </w:rPr>
        <w:t>Of</w:t>
      </w:r>
      <w:proofErr w:type="gramEnd"/>
      <w:r w:rsidRPr="00D535CF">
        <w:rPr>
          <w:rFonts w:ascii="Tw Cen MT" w:eastAsia="Times New Roman" w:hAnsi="Tw Cen MT" w:cs="Arial"/>
          <w:b/>
          <w:sz w:val="28"/>
        </w:rPr>
        <w:t xml:space="preserve"> Good Practice For Service-Learning Pedagogy</w:t>
      </w:r>
    </w:p>
    <w:p w:rsidR="00513C19" w:rsidRPr="00D535CF" w:rsidRDefault="00513C19" w:rsidP="00B447D6">
      <w:pPr>
        <w:jc w:val="center"/>
        <w:rPr>
          <w:rFonts w:ascii="Tw Cen MT" w:eastAsia="Times New Roman" w:hAnsi="Tw Cen MT" w:cs="Arial"/>
          <w:b/>
          <w:sz w:val="28"/>
        </w:rPr>
      </w:pPr>
    </w:p>
    <w:p w:rsidR="00B447D6" w:rsidRPr="00D535CF" w:rsidRDefault="00B447D6" w:rsidP="00B447D6">
      <w:pPr>
        <w:rPr>
          <w:rFonts w:ascii="Tw Cen MT" w:eastAsia="Times New Roman" w:hAnsi="Tw Cen MT" w:cs="Arial"/>
          <w:sz w:val="22"/>
        </w:rPr>
      </w:pPr>
      <w:r w:rsidRPr="00D535CF">
        <w:rPr>
          <w:rFonts w:ascii="Tw Cen MT" w:eastAsia="Times New Roman" w:hAnsi="Tw Cen MT" w:cs="Arial"/>
          <w:sz w:val="22"/>
        </w:rPr>
        <w:t xml:space="preserve">Excerpted from Howard, Jeffrey, ed., Michigan Journal of Community Service Learning: Service-Learning Course Design Workbook, University of Michigan: OCSL Press, </w:t>
      </w:r>
      <w:proofErr w:type="gramStart"/>
      <w:r w:rsidRPr="00D535CF">
        <w:rPr>
          <w:rFonts w:ascii="Tw Cen MT" w:eastAsia="Times New Roman" w:hAnsi="Tw Cen MT" w:cs="Arial"/>
          <w:sz w:val="22"/>
        </w:rPr>
        <w:t>Summer</w:t>
      </w:r>
      <w:proofErr w:type="gramEnd"/>
      <w:r w:rsidRPr="00D535CF">
        <w:rPr>
          <w:rFonts w:ascii="Tw Cen MT" w:eastAsia="Times New Roman" w:hAnsi="Tw Cen MT" w:cs="Arial"/>
          <w:sz w:val="22"/>
        </w:rPr>
        <w:t xml:space="preserve"> 2001 pp. 16H19.</w:t>
      </w:r>
    </w:p>
    <w:p w:rsidR="00B447D6" w:rsidRPr="00D535CF" w:rsidRDefault="00B447D6" w:rsidP="00B447D6">
      <w:pPr>
        <w:rPr>
          <w:rFonts w:ascii="Tw Cen MT" w:eastAsia="Times New Roman" w:hAnsi="Tw Cen MT" w:cs="Arial"/>
        </w:rPr>
      </w:pPr>
    </w:p>
    <w:p w:rsidR="00B447D6" w:rsidRPr="00D535CF" w:rsidRDefault="00B447D6" w:rsidP="00B447D6">
      <w:pPr>
        <w:rPr>
          <w:rFonts w:ascii="Tw Cen MT" w:eastAsia="Times New Roman" w:hAnsi="Tw Cen MT" w:cs="Arial"/>
        </w:rPr>
      </w:pPr>
      <w:r w:rsidRPr="00D535CF">
        <w:rPr>
          <w:rFonts w:ascii="Tw Cen MT" w:eastAsia="Times New Roman" w:hAnsi="Tw Cen MT" w:cs="Arial"/>
        </w:rPr>
        <w:t>The following ten principles were created by Jeffrey Howard for the Michigan Journal of Community Service in 2001. Howard believes that in order to fully understand and authentically integrate service-learning into coursework, that faculty must adhere to each of these principles equally.</w:t>
      </w:r>
    </w:p>
    <w:p w:rsidR="00B447D6" w:rsidRPr="00D535CF" w:rsidRDefault="00B447D6"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1: Academic Credit is for Learning, Not for Service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This first principle speaks to those who puzzle over how to assess students’ service in the community, or what weight to assign community involvement in final grades. In traditional courses, academic credit and grades are assigned based on students’ demonstration of academic learning as measured by the instructor. It is no different in service-learning courses. While in traditional courses we assess students’ learning from traditional course resources, e.g. textbooks, class discussions, library research, etc., in service-learning courses we evaluate students’ learning from traditional resources, from the community service, and from the blending of the two. So, academic credit is not awarded for doing service or for the quality of the service, but rather for the students’ demonstration of academic and civic learning.</w:t>
      </w:r>
    </w:p>
    <w:p w:rsidR="00B447D6" w:rsidRPr="00D535CF" w:rsidRDefault="00B447D6"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2: Do Not Compromise Academic Rigor</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Since there is a widespread perception in academic circles that community service is a “soft” learning resource, there may be a temptation to compromise the academic rigor in a service-learning course.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Labeling community service as a “soft” learning stimulus reflects a gross misperception. The perceived “soft” service component actually raises the learning challenge in a course. Service-learning students must not only master academic material as in traditional courses, but also learn how to learn from unstructured community experiences and merge that learning with the learning from other course resources.</w:t>
      </w:r>
    </w:p>
    <w:p w:rsidR="00B447D6" w:rsidRPr="00D535CF" w:rsidRDefault="00B447D6"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3: Establish Learning Objectives</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It is a service-learning maxim that one cannot develop a quality service-learning course without first setting very explicit learning objectives. This principle is foundational to service-learning. While establishing learning objectives for students is a standard to which all courses are accountable, in fact, it is especially necessary and advantageous to establish learning objectives in service-learning courses. The addition of the community as a learning context multiplies the learning possibilities. To sort out those of greatest priority, as well as to leverage the bounty of learning opportunities offered by community service experiences, deliberate planning of course academic and civic learning objectives is required.</w:t>
      </w:r>
    </w:p>
    <w:p w:rsidR="00B447D6" w:rsidRPr="00D535CF" w:rsidRDefault="00B447D6"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4: Establish Criteria for the Selection of Service Placements</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Requiring students to serve in any community-based organizatio</w:t>
      </w:r>
      <w:r w:rsidR="006A04B5" w:rsidRPr="00D535CF">
        <w:rPr>
          <w:rFonts w:ascii="Tw Cen MT" w:eastAsia="Times New Roman" w:hAnsi="Tw Cen MT" w:cs="Arial"/>
        </w:rPr>
        <w:t xml:space="preserve">n as part of a service-learning </w:t>
      </w:r>
      <w:r w:rsidRPr="00D535CF">
        <w:rPr>
          <w:rFonts w:ascii="Tw Cen MT" w:eastAsia="Times New Roman" w:hAnsi="Tw Cen MT" w:cs="Arial"/>
        </w:rPr>
        <w:t>course is tantamount to requiring students to read any book as part of a traditional course. Faculty</w:t>
      </w:r>
      <w:r w:rsidR="006A04B5" w:rsidRPr="00D535CF">
        <w:rPr>
          <w:rFonts w:ascii="Tw Cen MT" w:eastAsia="Times New Roman" w:hAnsi="Tw Cen MT" w:cs="Arial"/>
        </w:rPr>
        <w:t xml:space="preserve"> </w:t>
      </w:r>
      <w:r w:rsidRPr="00D535CF">
        <w:rPr>
          <w:rFonts w:ascii="Tw Cen MT" w:eastAsia="Times New Roman" w:hAnsi="Tw Cen MT" w:cs="Arial"/>
        </w:rPr>
        <w:t>who are deliberate about establishing criteria for selecting community service placements will find</w:t>
      </w:r>
      <w:r w:rsidR="006A04B5" w:rsidRPr="00D535CF">
        <w:rPr>
          <w:rFonts w:ascii="Tw Cen MT" w:eastAsia="Times New Roman" w:hAnsi="Tw Cen MT" w:cs="Arial"/>
        </w:rPr>
        <w:t xml:space="preserve"> </w:t>
      </w:r>
      <w:r w:rsidRPr="00D535CF">
        <w:rPr>
          <w:rFonts w:ascii="Tw Cen MT" w:eastAsia="Times New Roman" w:hAnsi="Tw Cen MT" w:cs="Arial"/>
        </w:rPr>
        <w:t>that students are able to extract more relevant learning from their respective service experiences,</w:t>
      </w:r>
      <w:r w:rsidR="006A04B5" w:rsidRPr="00D535CF">
        <w:rPr>
          <w:rFonts w:ascii="Tw Cen MT" w:eastAsia="Times New Roman" w:hAnsi="Tw Cen MT" w:cs="Arial"/>
        </w:rPr>
        <w:t xml:space="preserve"> </w:t>
      </w:r>
      <w:r w:rsidRPr="00D535CF">
        <w:rPr>
          <w:rFonts w:ascii="Tw Cen MT" w:eastAsia="Times New Roman" w:hAnsi="Tw Cen MT" w:cs="Arial"/>
        </w:rPr>
        <w:t>and are more likely to meet course learning objectives. We recommend four criteria for selecting</w:t>
      </w:r>
      <w:r w:rsidR="006A04B5" w:rsidRPr="00D535CF">
        <w:rPr>
          <w:rFonts w:ascii="Tw Cen MT" w:eastAsia="Times New Roman" w:hAnsi="Tw Cen MT" w:cs="Arial"/>
        </w:rPr>
        <w:t xml:space="preserve"> </w:t>
      </w:r>
      <w:r w:rsidRPr="00D535CF">
        <w:rPr>
          <w:rFonts w:ascii="Tw Cen MT" w:eastAsia="Times New Roman" w:hAnsi="Tw Cen MT" w:cs="Arial"/>
        </w:rPr>
        <w:t>service placements:</w:t>
      </w:r>
    </w:p>
    <w:p w:rsidR="00B447D6" w:rsidRPr="00D535CF" w:rsidRDefault="00B447D6" w:rsidP="006A04B5">
      <w:pPr>
        <w:pStyle w:val="ListParagraph"/>
        <w:numPr>
          <w:ilvl w:val="0"/>
          <w:numId w:val="14"/>
        </w:numPr>
        <w:rPr>
          <w:rFonts w:ascii="Tw Cen MT" w:eastAsia="Times New Roman" w:hAnsi="Tw Cen MT" w:cs="Arial"/>
        </w:rPr>
      </w:pPr>
      <w:r w:rsidRPr="00D535CF">
        <w:rPr>
          <w:rFonts w:ascii="Tw Cen MT" w:eastAsia="Times New Roman" w:hAnsi="Tw Cen MT" w:cs="Arial"/>
        </w:rPr>
        <w:lastRenderedPageBreak/>
        <w:t>Circumscribe the range of acceptable service placements around the content of the course</w:t>
      </w:r>
      <w:r w:rsidR="006A04B5" w:rsidRPr="00D535CF">
        <w:rPr>
          <w:rFonts w:ascii="Tw Cen MT" w:eastAsia="Times New Roman" w:hAnsi="Tw Cen MT" w:cs="Arial"/>
        </w:rPr>
        <w:t xml:space="preserve"> </w:t>
      </w:r>
      <w:r w:rsidRPr="00D535CF">
        <w:rPr>
          <w:rFonts w:ascii="Tw Cen MT" w:eastAsia="Times New Roman" w:hAnsi="Tw Cen MT" w:cs="Arial"/>
        </w:rPr>
        <w:t>(e.g., for a course on homelessness, homeless shelters and soup kitchens are learning</w:t>
      </w:r>
      <w:r w:rsidR="006A04B5" w:rsidRPr="00D535CF">
        <w:rPr>
          <w:rFonts w:ascii="Tw Cen MT" w:eastAsia="Times New Roman" w:hAnsi="Tw Cen MT" w:cs="Arial"/>
        </w:rPr>
        <w:t xml:space="preserve"> </w:t>
      </w:r>
      <w:r w:rsidRPr="00D535CF">
        <w:rPr>
          <w:rFonts w:ascii="Tw Cen MT" w:eastAsia="Times New Roman" w:hAnsi="Tw Cen MT" w:cs="Arial"/>
        </w:rPr>
        <w:t>appropriate placements, but service in a hospice is not).</w:t>
      </w:r>
    </w:p>
    <w:p w:rsidR="006A04B5" w:rsidRPr="00D535CF" w:rsidRDefault="00B447D6" w:rsidP="00B447D6">
      <w:pPr>
        <w:pStyle w:val="ListParagraph"/>
        <w:numPr>
          <w:ilvl w:val="0"/>
          <w:numId w:val="14"/>
        </w:numPr>
        <w:rPr>
          <w:rFonts w:ascii="Tw Cen MT" w:eastAsia="Times New Roman" w:hAnsi="Tw Cen MT" w:cs="Arial"/>
        </w:rPr>
      </w:pPr>
      <w:r w:rsidRPr="00D535CF">
        <w:rPr>
          <w:rFonts w:ascii="Tw Cen MT" w:eastAsia="Times New Roman" w:hAnsi="Tw Cen MT" w:cs="Arial"/>
        </w:rPr>
        <w:t>Limit specific service activities and contexts to those with the potential to meet course-relevant</w:t>
      </w:r>
      <w:r w:rsidR="006A04B5" w:rsidRPr="00D535CF">
        <w:rPr>
          <w:rFonts w:ascii="Tw Cen MT" w:eastAsia="Times New Roman" w:hAnsi="Tw Cen MT" w:cs="Arial"/>
        </w:rPr>
        <w:t xml:space="preserve"> </w:t>
      </w:r>
      <w:r w:rsidRPr="00D535CF">
        <w:rPr>
          <w:rFonts w:ascii="Tw Cen MT" w:eastAsia="Times New Roman" w:hAnsi="Tw Cen MT" w:cs="Arial"/>
        </w:rPr>
        <w:t>academic and civic learning objectives (e.g., filing papers in a warehouse, while of service to a</w:t>
      </w:r>
      <w:r w:rsidR="006A04B5" w:rsidRPr="00D535CF">
        <w:rPr>
          <w:rFonts w:ascii="Tw Cen MT" w:eastAsia="Times New Roman" w:hAnsi="Tw Cen MT" w:cs="Arial"/>
        </w:rPr>
        <w:t xml:space="preserve"> </w:t>
      </w:r>
      <w:r w:rsidRPr="00D535CF">
        <w:rPr>
          <w:rFonts w:ascii="Tw Cen MT" w:eastAsia="Times New Roman" w:hAnsi="Tw Cen MT" w:cs="Arial"/>
        </w:rPr>
        <w:t>school district, will offer little to stimulate either academic or civic learning in a course on</w:t>
      </w:r>
      <w:r w:rsidR="006A04B5" w:rsidRPr="00D535CF">
        <w:rPr>
          <w:rFonts w:ascii="Tw Cen MT" w:eastAsia="Times New Roman" w:hAnsi="Tw Cen MT" w:cs="Arial"/>
        </w:rPr>
        <w:t xml:space="preserve"> </w:t>
      </w:r>
      <w:r w:rsidRPr="00D535CF">
        <w:rPr>
          <w:rFonts w:ascii="Tw Cen MT" w:eastAsia="Times New Roman" w:hAnsi="Tw Cen MT" w:cs="Arial"/>
        </w:rPr>
        <w:t>elementary school edu</w:t>
      </w:r>
      <w:r w:rsidR="006A04B5" w:rsidRPr="00D535CF">
        <w:rPr>
          <w:rFonts w:ascii="Tw Cen MT" w:eastAsia="Times New Roman" w:hAnsi="Tw Cen MT" w:cs="Arial"/>
        </w:rPr>
        <w:t>cation.)</w:t>
      </w:r>
    </w:p>
    <w:p w:rsidR="006A04B5" w:rsidRPr="00D535CF" w:rsidRDefault="00B447D6" w:rsidP="00B447D6">
      <w:pPr>
        <w:pStyle w:val="ListParagraph"/>
        <w:numPr>
          <w:ilvl w:val="0"/>
          <w:numId w:val="14"/>
        </w:numPr>
        <w:rPr>
          <w:rFonts w:ascii="Tw Cen MT" w:eastAsia="Times New Roman" w:hAnsi="Tw Cen MT" w:cs="Arial"/>
        </w:rPr>
      </w:pPr>
      <w:r w:rsidRPr="00D535CF">
        <w:rPr>
          <w:rFonts w:ascii="Tw Cen MT" w:eastAsia="Times New Roman" w:hAnsi="Tw Cen MT" w:cs="Arial"/>
        </w:rPr>
        <w:t>Correlate the required duration of service with its role in the realization of academic and civic</w:t>
      </w:r>
      <w:r w:rsidR="006A04B5" w:rsidRPr="00D535CF">
        <w:rPr>
          <w:rFonts w:ascii="Tw Cen MT" w:eastAsia="Times New Roman" w:hAnsi="Tw Cen MT" w:cs="Arial"/>
        </w:rPr>
        <w:t xml:space="preserve"> </w:t>
      </w:r>
      <w:r w:rsidRPr="00D535CF">
        <w:rPr>
          <w:rFonts w:ascii="Tw Cen MT" w:eastAsia="Times New Roman" w:hAnsi="Tw Cen MT" w:cs="Arial"/>
        </w:rPr>
        <w:t>learning objectives (e.g., one two-hour shift at a hospital will do little to contribute to academic</w:t>
      </w:r>
      <w:r w:rsidR="006A04B5" w:rsidRPr="00D535CF">
        <w:rPr>
          <w:rFonts w:ascii="Tw Cen MT" w:eastAsia="Times New Roman" w:hAnsi="Tw Cen MT" w:cs="Arial"/>
        </w:rPr>
        <w:t xml:space="preserve"> </w:t>
      </w:r>
      <w:r w:rsidRPr="00D535CF">
        <w:rPr>
          <w:rFonts w:ascii="Tw Cen MT" w:eastAsia="Times New Roman" w:hAnsi="Tw Cen MT" w:cs="Arial"/>
        </w:rPr>
        <w:t>or civic learning in a course on institutional health care).</w:t>
      </w:r>
    </w:p>
    <w:p w:rsidR="00B447D6" w:rsidRPr="00D535CF" w:rsidRDefault="00B447D6" w:rsidP="00B447D6">
      <w:pPr>
        <w:pStyle w:val="ListParagraph"/>
        <w:numPr>
          <w:ilvl w:val="0"/>
          <w:numId w:val="14"/>
        </w:numPr>
        <w:rPr>
          <w:rFonts w:ascii="Tw Cen MT" w:eastAsia="Times New Roman" w:hAnsi="Tw Cen MT" w:cs="Arial"/>
        </w:rPr>
      </w:pPr>
      <w:r w:rsidRPr="00D535CF">
        <w:rPr>
          <w:rFonts w:ascii="Tw Cen MT" w:eastAsia="Times New Roman" w:hAnsi="Tw Cen MT" w:cs="Arial"/>
        </w:rPr>
        <w:t>Assign community projects that meet real needs in the community as determined by</w:t>
      </w:r>
      <w:r w:rsidR="006A04B5" w:rsidRPr="00D535CF">
        <w:rPr>
          <w:rFonts w:ascii="Tw Cen MT" w:eastAsia="Times New Roman" w:hAnsi="Tw Cen MT" w:cs="Arial"/>
        </w:rPr>
        <w:t xml:space="preserve"> </w:t>
      </w:r>
      <w:r w:rsidRPr="00D535CF">
        <w:rPr>
          <w:rFonts w:ascii="Tw Cen MT" w:eastAsia="Times New Roman" w:hAnsi="Tw Cen MT" w:cs="Arial"/>
        </w:rPr>
        <w:t>the community.</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5: Provide Educationally Sound Learning Strategies to Harvest Community</w:t>
      </w:r>
      <w:r w:rsidR="006A04B5" w:rsidRPr="00D535CF">
        <w:rPr>
          <w:rFonts w:ascii="Tw Cen MT" w:eastAsia="Times New Roman" w:hAnsi="Tw Cen MT" w:cs="Arial"/>
          <w:b/>
        </w:rPr>
        <w:t xml:space="preserve"> </w:t>
      </w:r>
      <w:r w:rsidRPr="00D535CF">
        <w:rPr>
          <w:rFonts w:ascii="Tw Cen MT" w:eastAsia="Times New Roman" w:hAnsi="Tw Cen MT" w:cs="Arial"/>
          <w:b/>
        </w:rPr>
        <w:t>Learning and Realize Course Learning Objectives</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Requiring service-learning students to merely record their servic</w:t>
      </w:r>
      <w:r w:rsidR="006A04B5" w:rsidRPr="00D535CF">
        <w:rPr>
          <w:rFonts w:ascii="Tw Cen MT" w:eastAsia="Times New Roman" w:hAnsi="Tw Cen MT" w:cs="Arial"/>
        </w:rPr>
        <w:t xml:space="preserve">e activities and hours as their </w:t>
      </w:r>
      <w:r w:rsidRPr="00D535CF">
        <w:rPr>
          <w:rFonts w:ascii="Tw Cen MT" w:eastAsia="Times New Roman" w:hAnsi="Tw Cen MT" w:cs="Arial"/>
        </w:rPr>
        <w:t>journal assignment is tantamount to requiring student in an engineering course to log their activities and hours in the lab. Learning in any course is realized by an appro</w:t>
      </w:r>
      <w:r w:rsidR="006A04B5" w:rsidRPr="00D535CF">
        <w:rPr>
          <w:rFonts w:ascii="Tw Cen MT" w:eastAsia="Times New Roman" w:hAnsi="Tw Cen MT" w:cs="Arial"/>
        </w:rPr>
        <w:t xml:space="preserve">priate mix and level of </w:t>
      </w:r>
      <w:r w:rsidRPr="00D535CF">
        <w:rPr>
          <w:rFonts w:ascii="Tw Cen MT" w:eastAsia="Times New Roman" w:hAnsi="Tw Cen MT" w:cs="Arial"/>
        </w:rPr>
        <w:t>learning strategies and assignments that correspond with the learning objectives for the course.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Given that in service-learning courses we want to utilize students</w:t>
      </w:r>
      <w:r w:rsidR="006A04B5" w:rsidRPr="00D535CF">
        <w:rPr>
          <w:rFonts w:ascii="Tw Cen MT" w:eastAsia="Times New Roman" w:hAnsi="Tw Cen MT" w:cs="Arial"/>
        </w:rPr>
        <w:t xml:space="preserve">’ service experiences in part to </w:t>
      </w:r>
      <w:r w:rsidRPr="00D535CF">
        <w:rPr>
          <w:rFonts w:ascii="Tw Cen MT" w:eastAsia="Times New Roman" w:hAnsi="Tw Cen MT" w:cs="Arial"/>
        </w:rPr>
        <w:t>achieve academic and civic course learning objectives, learning s</w:t>
      </w:r>
      <w:r w:rsidR="006A04B5" w:rsidRPr="00D535CF">
        <w:rPr>
          <w:rFonts w:ascii="Tw Cen MT" w:eastAsia="Times New Roman" w:hAnsi="Tw Cen MT" w:cs="Arial"/>
        </w:rPr>
        <w:t xml:space="preserve">trategies must be employed that </w:t>
      </w:r>
      <w:r w:rsidRPr="00D535CF">
        <w:rPr>
          <w:rFonts w:ascii="Tw Cen MT" w:eastAsia="Times New Roman" w:hAnsi="Tw Cen MT" w:cs="Arial"/>
        </w:rPr>
        <w:t>support learning from service experiences and enable its use toward meeting course learning objectives. Learning interventions that promote critical reflection, analysis, and application of servi</w:t>
      </w:r>
      <w:r w:rsidR="006A04B5" w:rsidRPr="00D535CF">
        <w:rPr>
          <w:rFonts w:ascii="Tw Cen MT" w:eastAsia="Times New Roman" w:hAnsi="Tw Cen MT" w:cs="Arial"/>
        </w:rPr>
        <w:t xml:space="preserve">ce </w:t>
      </w:r>
      <w:r w:rsidRPr="00D535CF">
        <w:rPr>
          <w:rFonts w:ascii="Tw Cen MT" w:eastAsia="Times New Roman" w:hAnsi="Tw Cen MT" w:cs="Arial"/>
        </w:rPr>
        <w:t>experiences enable learning. To make certain that service does not</w:t>
      </w:r>
      <w:r w:rsidR="006A04B5" w:rsidRPr="00D535CF">
        <w:rPr>
          <w:rFonts w:ascii="Tw Cen MT" w:eastAsia="Times New Roman" w:hAnsi="Tw Cen MT" w:cs="Arial"/>
        </w:rPr>
        <w:t xml:space="preserve"> underachieve in its role as an </w:t>
      </w:r>
      <w:r w:rsidRPr="00D535CF">
        <w:rPr>
          <w:rFonts w:ascii="Tw Cen MT" w:eastAsia="Times New Roman" w:hAnsi="Tw Cen MT" w:cs="Arial"/>
        </w:rPr>
        <w:t>instrument of learning, careful thought must be given to learnin</w:t>
      </w:r>
      <w:r w:rsidR="006A04B5" w:rsidRPr="00D535CF">
        <w:rPr>
          <w:rFonts w:ascii="Tw Cen MT" w:eastAsia="Times New Roman" w:hAnsi="Tw Cen MT" w:cs="Arial"/>
        </w:rPr>
        <w:t xml:space="preserve">g activities that encourage the </w:t>
      </w:r>
      <w:r w:rsidRPr="00D535CF">
        <w:rPr>
          <w:rFonts w:ascii="Tw Cen MT" w:eastAsia="Times New Roman" w:hAnsi="Tw Cen MT" w:cs="Arial"/>
        </w:rPr>
        <w:t>integration of experiential and academic learning. These activities</w:t>
      </w:r>
      <w:r w:rsidR="006A04B5" w:rsidRPr="00D535CF">
        <w:rPr>
          <w:rFonts w:ascii="Tw Cen MT" w:eastAsia="Times New Roman" w:hAnsi="Tw Cen MT" w:cs="Arial"/>
        </w:rPr>
        <w:t xml:space="preserve"> include classroom discussions, </w:t>
      </w:r>
      <w:r w:rsidRPr="00D535CF">
        <w:rPr>
          <w:rFonts w:ascii="Tw Cen MT" w:eastAsia="Times New Roman" w:hAnsi="Tw Cen MT" w:cs="Arial"/>
        </w:rPr>
        <w:t>presentations, and journal and paper assignments that support analys</w:t>
      </w:r>
      <w:r w:rsidR="006A04B5" w:rsidRPr="00D535CF">
        <w:rPr>
          <w:rFonts w:ascii="Tw Cen MT" w:eastAsia="Times New Roman" w:hAnsi="Tw Cen MT" w:cs="Arial"/>
        </w:rPr>
        <w:t xml:space="preserve">is of service experience in the </w:t>
      </w:r>
      <w:r w:rsidRPr="00D535CF">
        <w:rPr>
          <w:rFonts w:ascii="Tw Cen MT" w:eastAsia="Times New Roman" w:hAnsi="Tw Cen MT" w:cs="Arial"/>
        </w:rPr>
        <w:t>context of the course academic and civic learning objectives. Of course</w:t>
      </w:r>
      <w:r w:rsidR="006A04B5" w:rsidRPr="00D535CF">
        <w:rPr>
          <w:rFonts w:ascii="Tw Cen MT" w:eastAsia="Times New Roman" w:hAnsi="Tw Cen MT" w:cs="Arial"/>
        </w:rPr>
        <w:t xml:space="preserve">, clarity about course learning </w:t>
      </w:r>
      <w:r w:rsidRPr="00D535CF">
        <w:rPr>
          <w:rFonts w:ascii="Tw Cen MT" w:eastAsia="Times New Roman" w:hAnsi="Tw Cen MT" w:cs="Arial"/>
        </w:rPr>
        <w:t>objectives is a prerequisite for identifying educationally-sound learning strategies.</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6: Prepare Students for Learning from the Community</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Most students lack experience with both extracting and making</w:t>
      </w:r>
      <w:r w:rsidR="006A04B5" w:rsidRPr="00D535CF">
        <w:rPr>
          <w:rFonts w:ascii="Tw Cen MT" w:eastAsia="Times New Roman" w:hAnsi="Tw Cen MT" w:cs="Arial"/>
        </w:rPr>
        <w:t xml:space="preserve"> meaning from experience and in </w:t>
      </w:r>
      <w:r w:rsidRPr="00D535CF">
        <w:rPr>
          <w:rFonts w:ascii="Tw Cen MT" w:eastAsia="Times New Roman" w:hAnsi="Tw Cen MT" w:cs="Arial"/>
        </w:rPr>
        <w:t>merging it with other academic and civic course learning strategie</w:t>
      </w:r>
      <w:r w:rsidR="006A04B5" w:rsidRPr="00D535CF">
        <w:rPr>
          <w:rFonts w:ascii="Tw Cen MT" w:eastAsia="Times New Roman" w:hAnsi="Tw Cen MT" w:cs="Arial"/>
        </w:rPr>
        <w:t xml:space="preserve">s. Therefore, even an exemplary </w:t>
      </w:r>
      <w:r w:rsidRPr="00D535CF">
        <w:rPr>
          <w:rFonts w:ascii="Tw Cen MT" w:eastAsia="Times New Roman" w:hAnsi="Tw Cen MT" w:cs="Arial"/>
        </w:rPr>
        <w:t>reflection journal assignment will yield, without sufficient support</w:t>
      </w:r>
      <w:r w:rsidR="006A04B5" w:rsidRPr="00D535CF">
        <w:rPr>
          <w:rFonts w:ascii="Tw Cen MT" w:eastAsia="Times New Roman" w:hAnsi="Tw Cen MT" w:cs="Arial"/>
        </w:rPr>
        <w:t xml:space="preserve">, uneven responses. Faculty can </w:t>
      </w:r>
      <w:r w:rsidRPr="00D535CF">
        <w:rPr>
          <w:rFonts w:ascii="Tw Cen MT" w:eastAsia="Times New Roman" w:hAnsi="Tw Cen MT" w:cs="Arial"/>
        </w:rPr>
        <w:t>provide: 1) learning supports such as opportunities to acquire skills</w:t>
      </w:r>
      <w:r w:rsidR="006A04B5" w:rsidRPr="00D535CF">
        <w:rPr>
          <w:rFonts w:ascii="Tw Cen MT" w:eastAsia="Times New Roman" w:hAnsi="Tw Cen MT" w:cs="Arial"/>
        </w:rPr>
        <w:t xml:space="preserve"> for gleaning the learning from </w:t>
      </w:r>
      <w:r w:rsidRPr="00D535CF">
        <w:rPr>
          <w:rFonts w:ascii="Tw Cen MT" w:eastAsia="Times New Roman" w:hAnsi="Tw Cen MT" w:cs="Arial"/>
        </w:rPr>
        <w:t xml:space="preserve">the service context (e.g., participant-observer skills), and/or 2) </w:t>
      </w:r>
      <w:r w:rsidR="006A04B5" w:rsidRPr="00D535CF">
        <w:rPr>
          <w:rFonts w:ascii="Tw Cen MT" w:eastAsia="Times New Roman" w:hAnsi="Tw Cen MT" w:cs="Arial"/>
        </w:rPr>
        <w:t xml:space="preserve">examples of how to successfully </w:t>
      </w:r>
      <w:r w:rsidRPr="00D535CF">
        <w:rPr>
          <w:rFonts w:ascii="Tw Cen MT" w:eastAsia="Times New Roman" w:hAnsi="Tw Cen MT" w:cs="Arial"/>
        </w:rPr>
        <w:t>complete assignments (e.g., making past exemplary student papers an</w:t>
      </w:r>
      <w:r w:rsidR="006A04B5" w:rsidRPr="00D535CF">
        <w:rPr>
          <w:rFonts w:ascii="Tw Cen MT" w:eastAsia="Times New Roman" w:hAnsi="Tw Cen MT" w:cs="Arial"/>
        </w:rPr>
        <w:t xml:space="preserve">d reflection journals available </w:t>
      </w:r>
      <w:r w:rsidRPr="00D535CF">
        <w:rPr>
          <w:rFonts w:ascii="Tw Cen MT" w:eastAsia="Times New Roman" w:hAnsi="Tw Cen MT" w:cs="Arial"/>
        </w:rPr>
        <w:t>to current students to peruse).</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 xml:space="preserve">Principle 7: Minimize the Distinction </w:t>
      </w:r>
      <w:proofErr w:type="gramStart"/>
      <w:r w:rsidRPr="00D535CF">
        <w:rPr>
          <w:rFonts w:ascii="Tw Cen MT" w:eastAsia="Times New Roman" w:hAnsi="Tw Cen MT" w:cs="Arial"/>
          <w:b/>
        </w:rPr>
        <w:t>Between</w:t>
      </w:r>
      <w:proofErr w:type="gramEnd"/>
      <w:r w:rsidRPr="00D535CF">
        <w:rPr>
          <w:rFonts w:ascii="Tw Cen MT" w:eastAsia="Times New Roman" w:hAnsi="Tw Cen MT" w:cs="Arial"/>
          <w:b/>
        </w:rPr>
        <w:t xml:space="preserve"> the St</w:t>
      </w:r>
      <w:r w:rsidR="006A04B5" w:rsidRPr="00D535CF">
        <w:rPr>
          <w:rFonts w:ascii="Tw Cen MT" w:eastAsia="Times New Roman" w:hAnsi="Tw Cen MT" w:cs="Arial"/>
          <w:b/>
        </w:rPr>
        <w:t xml:space="preserve">udents’ Community Learning Role </w:t>
      </w:r>
      <w:r w:rsidRPr="00D535CF">
        <w:rPr>
          <w:rFonts w:ascii="Tw Cen MT" w:eastAsia="Times New Roman" w:hAnsi="Tw Cen MT" w:cs="Arial"/>
          <w:b/>
        </w:rPr>
        <w:t>and Classroom Learning Role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Classrooms and communities are very different learning contexts. E</w:t>
      </w:r>
      <w:r w:rsidR="006A04B5" w:rsidRPr="00D535CF">
        <w:rPr>
          <w:rFonts w:ascii="Tw Cen MT" w:eastAsia="Times New Roman" w:hAnsi="Tw Cen MT" w:cs="Arial"/>
        </w:rPr>
        <w:t xml:space="preserve">ach requires students to assume </w:t>
      </w:r>
      <w:r w:rsidRPr="00D535CF">
        <w:rPr>
          <w:rFonts w:ascii="Tw Cen MT" w:eastAsia="Times New Roman" w:hAnsi="Tw Cen MT" w:cs="Arial"/>
        </w:rPr>
        <w:t>a different learner role. Generally, classrooms provide a high level of t</w:t>
      </w:r>
      <w:r w:rsidR="006A04B5" w:rsidRPr="00D535CF">
        <w:rPr>
          <w:rFonts w:ascii="Tw Cen MT" w:eastAsia="Times New Roman" w:hAnsi="Tw Cen MT" w:cs="Arial"/>
        </w:rPr>
        <w:t xml:space="preserve">eacher direction, with students </w:t>
      </w:r>
      <w:r w:rsidRPr="00D535CF">
        <w:rPr>
          <w:rFonts w:ascii="Tw Cen MT" w:eastAsia="Times New Roman" w:hAnsi="Tw Cen MT" w:cs="Arial"/>
        </w:rPr>
        <w:t>expected to assume mostly a passive learner role. In contrast, servic</w:t>
      </w:r>
      <w:r w:rsidR="006A04B5" w:rsidRPr="00D535CF">
        <w:rPr>
          <w:rFonts w:ascii="Tw Cen MT" w:eastAsia="Times New Roman" w:hAnsi="Tw Cen MT" w:cs="Arial"/>
        </w:rPr>
        <w:t xml:space="preserve">e communities usually provide a </w:t>
      </w:r>
      <w:r w:rsidRPr="00D535CF">
        <w:rPr>
          <w:rFonts w:ascii="Tw Cen MT" w:eastAsia="Times New Roman" w:hAnsi="Tw Cen MT" w:cs="Arial"/>
        </w:rPr>
        <w:t>low level of teaching direction, with students expected to assume mostly an active learner role.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lastRenderedPageBreak/>
        <w:t>Alternating between the passive learner role in the classroom and</w:t>
      </w:r>
      <w:r w:rsidR="006A04B5" w:rsidRPr="00D535CF">
        <w:rPr>
          <w:rFonts w:ascii="Tw Cen MT" w:eastAsia="Times New Roman" w:hAnsi="Tw Cen MT" w:cs="Arial"/>
        </w:rPr>
        <w:t xml:space="preserve"> the active learner role in the </w:t>
      </w:r>
      <w:r w:rsidRPr="00D535CF">
        <w:rPr>
          <w:rFonts w:ascii="Tw Cen MT" w:eastAsia="Times New Roman" w:hAnsi="Tw Cen MT" w:cs="Arial"/>
        </w:rPr>
        <w:t>community may challenge and even impede student learning. The solution is to shape the learning</w:t>
      </w:r>
      <w:r w:rsidR="006A04B5" w:rsidRPr="00D535CF">
        <w:rPr>
          <w:rFonts w:ascii="Tw Cen MT" w:eastAsia="Times New Roman" w:hAnsi="Tw Cen MT" w:cs="Arial"/>
        </w:rPr>
        <w:t xml:space="preserve"> </w:t>
      </w:r>
      <w:r w:rsidRPr="00D535CF">
        <w:rPr>
          <w:rFonts w:ascii="Tw Cen MT" w:eastAsia="Times New Roman" w:hAnsi="Tw Cen MT" w:cs="Arial"/>
        </w:rPr>
        <w:t>environments so that students assume similar learner roles in both contexts.</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rPr>
      </w:pPr>
      <w:r w:rsidRPr="00D535CF">
        <w:rPr>
          <w:rFonts w:ascii="Tw Cen MT" w:eastAsia="Times New Roman" w:hAnsi="Tw Cen MT" w:cs="Arial"/>
        </w:rPr>
        <w:t>While one solution is to intervene so that the service community pr</w:t>
      </w:r>
      <w:r w:rsidR="006A04B5" w:rsidRPr="00D535CF">
        <w:rPr>
          <w:rFonts w:ascii="Tw Cen MT" w:eastAsia="Times New Roman" w:hAnsi="Tw Cen MT" w:cs="Arial"/>
        </w:rPr>
        <w:t xml:space="preserve">ovides a high level of teaching </w:t>
      </w:r>
      <w:r w:rsidRPr="00D535CF">
        <w:rPr>
          <w:rFonts w:ascii="Tw Cen MT" w:eastAsia="Times New Roman" w:hAnsi="Tw Cen MT" w:cs="Arial"/>
        </w:rPr>
        <w:t>direction, we recommend, for several reasons, re-norming the tradit</w:t>
      </w:r>
      <w:r w:rsidR="006A04B5" w:rsidRPr="00D535CF">
        <w:rPr>
          <w:rFonts w:ascii="Tw Cen MT" w:eastAsia="Times New Roman" w:hAnsi="Tw Cen MT" w:cs="Arial"/>
        </w:rPr>
        <w:t xml:space="preserve">ional classroom toward one that </w:t>
      </w:r>
      <w:r w:rsidRPr="00D535CF">
        <w:rPr>
          <w:rFonts w:ascii="Tw Cen MT" w:eastAsia="Times New Roman" w:hAnsi="Tw Cen MT" w:cs="Arial"/>
        </w:rPr>
        <w:t xml:space="preserve">values students as active learners. First, active learning is consistent </w:t>
      </w:r>
      <w:r w:rsidR="006A04B5" w:rsidRPr="00D535CF">
        <w:rPr>
          <w:rFonts w:ascii="Tw Cen MT" w:eastAsia="Times New Roman" w:hAnsi="Tw Cen MT" w:cs="Arial"/>
        </w:rPr>
        <w:t xml:space="preserve">with active civic participation </w:t>
      </w:r>
      <w:r w:rsidRPr="00D535CF">
        <w:rPr>
          <w:rFonts w:ascii="Tw Cen MT" w:eastAsia="Times New Roman" w:hAnsi="Tw Cen MT" w:cs="Arial"/>
        </w:rPr>
        <w:t>that service-learning seeks to foster. Second, students bring inform</w:t>
      </w:r>
      <w:r w:rsidR="006A04B5" w:rsidRPr="00D535CF">
        <w:rPr>
          <w:rFonts w:ascii="Tw Cen MT" w:eastAsia="Times New Roman" w:hAnsi="Tw Cen MT" w:cs="Arial"/>
        </w:rPr>
        <w:t xml:space="preserve">ation from the community to the </w:t>
      </w:r>
      <w:r w:rsidRPr="00D535CF">
        <w:rPr>
          <w:rFonts w:ascii="Tw Cen MT" w:eastAsia="Times New Roman" w:hAnsi="Tw Cen MT" w:cs="Arial"/>
        </w:rPr>
        <w:t xml:space="preserve">classroom that can be utilized on behalf of </w:t>
      </w:r>
      <w:proofErr w:type="spellStart"/>
      <w:r w:rsidRPr="00D535CF">
        <w:rPr>
          <w:rFonts w:ascii="Tw Cen MT" w:eastAsia="Times New Roman" w:hAnsi="Tw Cen MT" w:cs="Arial"/>
        </w:rPr>
        <w:t>othersQ</w:t>
      </w:r>
      <w:proofErr w:type="spellEnd"/>
      <w:r w:rsidRPr="00D535CF">
        <w:rPr>
          <w:rFonts w:ascii="Tw Cen MT" w:eastAsia="Times New Roman" w:hAnsi="Tw Cen MT" w:cs="Arial"/>
        </w:rPr>
        <w:t xml:space="preserve"> learning. Finally, we kno</w:t>
      </w:r>
      <w:r w:rsidR="006A04B5" w:rsidRPr="00D535CF">
        <w:rPr>
          <w:rFonts w:ascii="Tw Cen MT" w:eastAsia="Times New Roman" w:hAnsi="Tw Cen MT" w:cs="Arial"/>
        </w:rPr>
        <w:t xml:space="preserve">w from recent research in </w:t>
      </w:r>
      <w:r w:rsidRPr="00D535CF">
        <w:rPr>
          <w:rFonts w:ascii="Tw Cen MT" w:eastAsia="Times New Roman" w:hAnsi="Tw Cen MT" w:cs="Arial"/>
        </w:rPr>
        <w:t>the field of cognitive science that students develop deeper understanding of course material if they</w:t>
      </w:r>
      <w:r w:rsidR="006A04B5" w:rsidRPr="00D535CF">
        <w:rPr>
          <w:rFonts w:ascii="Tw Cen MT" w:eastAsia="Times New Roman" w:hAnsi="Tw Cen MT" w:cs="Arial"/>
        </w:rPr>
        <w:t xml:space="preserve"> </w:t>
      </w:r>
      <w:r w:rsidRPr="00D535CF">
        <w:rPr>
          <w:rFonts w:ascii="Tw Cen MT" w:eastAsia="Times New Roman" w:hAnsi="Tw Cen MT" w:cs="Arial"/>
        </w:rPr>
        <w:t>have an opportunity to actively construct knowledge.7</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8: Rethink the Faculty Instructional Role</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If faculty encourage st</w:t>
      </w:r>
      <w:r w:rsidR="006A04B5" w:rsidRPr="00D535CF">
        <w:rPr>
          <w:rFonts w:ascii="Tw Cen MT" w:eastAsia="Times New Roman" w:hAnsi="Tw Cen MT" w:cs="Arial"/>
        </w:rPr>
        <w:t>udents’</w:t>
      </w:r>
      <w:r w:rsidRPr="00D535CF">
        <w:rPr>
          <w:rFonts w:ascii="Tw Cen MT" w:eastAsia="Times New Roman" w:hAnsi="Tw Cen MT" w:cs="Arial"/>
        </w:rPr>
        <w:t xml:space="preserve"> active learning in the classroom, </w:t>
      </w:r>
      <w:r w:rsidR="006A04B5" w:rsidRPr="00D535CF">
        <w:rPr>
          <w:rFonts w:ascii="Tw Cen MT" w:eastAsia="Times New Roman" w:hAnsi="Tw Cen MT" w:cs="Arial"/>
        </w:rPr>
        <w:t>what would be a concomitant and consistent change in one’</w:t>
      </w:r>
      <w:r w:rsidRPr="00D535CF">
        <w:rPr>
          <w:rFonts w:ascii="Tw Cen MT" w:eastAsia="Times New Roman" w:hAnsi="Tw Cen MT" w:cs="Arial"/>
        </w:rPr>
        <w:t>s teaching role? Commensura</w:t>
      </w:r>
      <w:r w:rsidR="006A04B5" w:rsidRPr="00D535CF">
        <w:rPr>
          <w:rFonts w:ascii="Tw Cen MT" w:eastAsia="Times New Roman" w:hAnsi="Tw Cen MT" w:cs="Arial"/>
        </w:rPr>
        <w:t xml:space="preserve">te with the preceding principle’s </w:t>
      </w:r>
      <w:r w:rsidRPr="00D535CF">
        <w:rPr>
          <w:rFonts w:ascii="Tw Cen MT" w:eastAsia="Times New Roman" w:hAnsi="Tw Cen MT" w:cs="Arial"/>
        </w:rPr>
        <w:t>recommendation for an active student learning posture, this principle advocates that service-lea</w:t>
      </w:r>
      <w:r w:rsidR="006A04B5" w:rsidRPr="00D535CF">
        <w:rPr>
          <w:rFonts w:ascii="Tw Cen MT" w:eastAsia="Times New Roman" w:hAnsi="Tw Cen MT" w:cs="Arial"/>
        </w:rPr>
        <w:t xml:space="preserve">rning teachers, </w:t>
      </w:r>
      <w:r w:rsidRPr="00D535CF">
        <w:rPr>
          <w:rFonts w:ascii="Tw Cen MT" w:eastAsia="Times New Roman" w:hAnsi="Tw Cen MT" w:cs="Arial"/>
        </w:rPr>
        <w:t>too, rethink their roles. An instructor role that would be most compati</w:t>
      </w:r>
      <w:r w:rsidR="006A04B5" w:rsidRPr="00D535CF">
        <w:rPr>
          <w:rFonts w:ascii="Tw Cen MT" w:eastAsia="Times New Roman" w:hAnsi="Tw Cen MT" w:cs="Arial"/>
        </w:rPr>
        <w:t xml:space="preserve">ble with an active student role </w:t>
      </w:r>
      <w:r w:rsidRPr="00D535CF">
        <w:rPr>
          <w:rFonts w:ascii="Tw Cen MT" w:eastAsia="Times New Roman" w:hAnsi="Tw Cen MT" w:cs="Arial"/>
        </w:rPr>
        <w:t>shifts away from a singular reliance on transmission of knowledge and toward mixed pedagogical</w:t>
      </w:r>
      <w:r w:rsidR="006A04B5" w:rsidRPr="00D535CF">
        <w:rPr>
          <w:rFonts w:ascii="Tw Cen MT" w:eastAsia="Times New Roman" w:hAnsi="Tw Cen MT" w:cs="Arial"/>
        </w:rPr>
        <w:t xml:space="preserve"> </w:t>
      </w:r>
      <w:r w:rsidRPr="00D535CF">
        <w:rPr>
          <w:rFonts w:ascii="Tw Cen MT" w:eastAsia="Times New Roman" w:hAnsi="Tw Cen MT" w:cs="Arial"/>
        </w:rPr>
        <w:t>methods that include learning facilitation and guidance.</w:t>
      </w:r>
    </w:p>
    <w:p w:rsidR="006A04B5" w:rsidRPr="00D535CF" w:rsidRDefault="006A04B5" w:rsidP="00B447D6">
      <w:pPr>
        <w:rPr>
          <w:rFonts w:ascii="Tw Cen MT" w:eastAsia="Times New Roman" w:hAnsi="Tw Cen MT" w:cs="Arial"/>
        </w:rPr>
      </w:pPr>
    </w:p>
    <w:p w:rsidR="00B447D6" w:rsidRPr="00D535CF" w:rsidRDefault="006A04B5" w:rsidP="00B447D6">
      <w:pPr>
        <w:rPr>
          <w:rFonts w:ascii="Tw Cen MT" w:eastAsia="Times New Roman" w:hAnsi="Tw Cen MT" w:cs="Arial"/>
        </w:rPr>
      </w:pPr>
      <w:r w:rsidRPr="00D535CF">
        <w:rPr>
          <w:rFonts w:ascii="Tw Cen MT" w:eastAsia="Times New Roman" w:hAnsi="Tw Cen MT" w:cs="Arial"/>
        </w:rPr>
        <w:t>To re-shape one’</w:t>
      </w:r>
      <w:r w:rsidR="00B447D6" w:rsidRPr="00D535CF">
        <w:rPr>
          <w:rFonts w:ascii="Tw Cen MT" w:eastAsia="Times New Roman" w:hAnsi="Tw Cen MT" w:cs="Arial"/>
        </w:rPr>
        <w:t>s classroom role to capitalize on the learning bounty in</w:t>
      </w:r>
      <w:r w:rsidRPr="00D535CF">
        <w:rPr>
          <w:rFonts w:ascii="Tw Cen MT" w:eastAsia="Times New Roman" w:hAnsi="Tw Cen MT" w:cs="Arial"/>
        </w:rPr>
        <w:t xml:space="preserve"> service-learning, faculty will find Howard’s 1998 model of “Transforming the Classroom”</w:t>
      </w:r>
      <w:r w:rsidR="00B447D6" w:rsidRPr="00D535CF">
        <w:rPr>
          <w:rFonts w:ascii="Tw Cen MT" w:eastAsia="Times New Roman" w:hAnsi="Tw Cen MT" w:cs="Arial"/>
        </w:rPr>
        <w:t xml:space="preserve"> helpfu</w:t>
      </w:r>
      <w:r w:rsidRPr="00D535CF">
        <w:rPr>
          <w:rFonts w:ascii="Tw Cen MT" w:eastAsia="Times New Roman" w:hAnsi="Tw Cen MT" w:cs="Arial"/>
        </w:rPr>
        <w:t xml:space="preserve">l. This four-stage model begins </w:t>
      </w:r>
      <w:r w:rsidR="00B447D6" w:rsidRPr="00D535CF">
        <w:rPr>
          <w:rFonts w:ascii="Tw Cen MT" w:eastAsia="Times New Roman" w:hAnsi="Tw Cen MT" w:cs="Arial"/>
        </w:rPr>
        <w:t>with the traditional classroom in which students are passive, teachers a</w:t>
      </w:r>
      <w:r w:rsidRPr="00D535CF">
        <w:rPr>
          <w:rFonts w:ascii="Tw Cen MT" w:eastAsia="Times New Roman" w:hAnsi="Tw Cen MT" w:cs="Arial"/>
        </w:rPr>
        <w:t xml:space="preserve">re directive, an all conform to </w:t>
      </w:r>
      <w:r w:rsidR="00B447D6" w:rsidRPr="00D535CF">
        <w:rPr>
          <w:rFonts w:ascii="Tw Cen MT" w:eastAsia="Times New Roman" w:hAnsi="Tw Cen MT" w:cs="Arial"/>
        </w:rPr>
        <w:t>the learned rules of the classroom. In the second stage, the instructor</w:t>
      </w:r>
      <w:r w:rsidRPr="00D535CF">
        <w:rPr>
          <w:rFonts w:ascii="Tw Cen MT" w:eastAsia="Times New Roman" w:hAnsi="Tw Cen MT" w:cs="Arial"/>
        </w:rPr>
        <w:t xml:space="preserve"> begins to re-socialize herself </w:t>
      </w:r>
      <w:r w:rsidR="00B447D6" w:rsidRPr="00D535CF">
        <w:rPr>
          <w:rFonts w:ascii="Tw Cen MT" w:eastAsia="Times New Roman" w:hAnsi="Tw Cen MT" w:cs="Arial"/>
        </w:rPr>
        <w:t>toward a more facilitative role; but the students, socialized for many ye</w:t>
      </w:r>
      <w:r w:rsidRPr="00D535CF">
        <w:rPr>
          <w:rFonts w:ascii="Tw Cen MT" w:eastAsia="Times New Roman" w:hAnsi="Tw Cen MT" w:cs="Arial"/>
        </w:rPr>
        <w:t xml:space="preserve">ars to be passive learners, are </w:t>
      </w:r>
      <w:r w:rsidR="00B447D6" w:rsidRPr="00D535CF">
        <w:rPr>
          <w:rFonts w:ascii="Tw Cen MT" w:eastAsia="Times New Roman" w:hAnsi="Tw Cen MT" w:cs="Arial"/>
        </w:rPr>
        <w:t>slow to change to a more active mode. In the third stage, with the pers</w:t>
      </w:r>
      <w:r w:rsidRPr="00D535CF">
        <w:rPr>
          <w:rFonts w:ascii="Tw Cen MT" w:eastAsia="Times New Roman" w:hAnsi="Tw Cen MT" w:cs="Arial"/>
        </w:rPr>
        <w:t xml:space="preserve">everance of the instructor, the </w:t>
      </w:r>
      <w:r w:rsidR="00B447D6" w:rsidRPr="00D535CF">
        <w:rPr>
          <w:rFonts w:ascii="Tw Cen MT" w:eastAsia="Times New Roman" w:hAnsi="Tw Cen MT" w:cs="Arial"/>
        </w:rPr>
        <w:t>students begin to develop and acquire the skills and propensities to be active in the classroom.</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 xml:space="preserve">Frequently, during this phase, faculty will become concerned that learning is not as rich and rigorous as when they are using the more popular lecture format, and </w:t>
      </w:r>
      <w:r w:rsidR="006A04B5" w:rsidRPr="00D535CF">
        <w:rPr>
          <w:rFonts w:ascii="Tw Cen MT" w:eastAsia="Times New Roman" w:hAnsi="Tw Cen MT" w:cs="Arial"/>
        </w:rPr>
        <w:t xml:space="preserve">may regress to a more directive </w:t>
      </w:r>
      <w:r w:rsidRPr="00D535CF">
        <w:rPr>
          <w:rFonts w:ascii="Tw Cen MT" w:eastAsia="Times New Roman" w:hAnsi="Tw Cen MT" w:cs="Arial"/>
        </w:rPr>
        <w:t>posture. Over time homeostasis is established, and the instructor and the students achieve an environment in which mixed pedagogical methods lead to students who a</w:t>
      </w:r>
      <w:r w:rsidR="006A04B5" w:rsidRPr="00D535CF">
        <w:rPr>
          <w:rFonts w:ascii="Tw Cen MT" w:eastAsia="Times New Roman" w:hAnsi="Tw Cen MT" w:cs="Arial"/>
        </w:rPr>
        <w:t xml:space="preserve">re active learners, instructors </w:t>
      </w:r>
      <w:r w:rsidRPr="00D535CF">
        <w:rPr>
          <w:rFonts w:ascii="Tw Cen MT" w:eastAsia="Times New Roman" w:hAnsi="Tw Cen MT" w:cs="Arial"/>
        </w:rPr>
        <w:t>fluent in multiple teaching methods, and strong academic and civic learning outcomes.</w:t>
      </w:r>
    </w:p>
    <w:p w:rsidR="006A04B5" w:rsidRPr="00D535CF" w:rsidRDefault="006A04B5"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t>Principle 9: Be Prepared for Variation in,</w:t>
      </w:r>
      <w:r w:rsidR="006A04B5" w:rsidRPr="00D535CF">
        <w:rPr>
          <w:rFonts w:ascii="Tw Cen MT" w:eastAsia="Times New Roman" w:hAnsi="Tw Cen MT" w:cs="Arial"/>
          <w:b/>
        </w:rPr>
        <w:t xml:space="preserve"> and Some Loss of Control with, </w:t>
      </w:r>
      <w:r w:rsidRPr="00D535CF">
        <w:rPr>
          <w:rFonts w:ascii="Tw Cen MT" w:eastAsia="Times New Roman" w:hAnsi="Tw Cen MT" w:cs="Arial"/>
          <w:b/>
        </w:rPr>
        <w:t>Student Learning Outcomes</w:t>
      </w:r>
    </w:p>
    <w:p w:rsidR="00B447D6" w:rsidRPr="00D535CF" w:rsidRDefault="00B447D6" w:rsidP="00B447D6">
      <w:pPr>
        <w:rPr>
          <w:rFonts w:ascii="Tw Cen MT" w:eastAsia="Times New Roman" w:hAnsi="Tw Cen MT" w:cs="Arial"/>
        </w:rPr>
      </w:pPr>
      <w:r w:rsidRPr="00D535CF">
        <w:rPr>
          <w:rFonts w:ascii="Tw Cen MT" w:eastAsia="Times New Roman" w:hAnsi="Tw Cen MT" w:cs="Arial"/>
        </w:rPr>
        <w:t xml:space="preserve">For faculty who value homogeneity in student learning outcomes, as </w:t>
      </w:r>
      <w:r w:rsidR="006A04B5" w:rsidRPr="00D535CF">
        <w:rPr>
          <w:rFonts w:ascii="Tw Cen MT" w:eastAsia="Times New Roman" w:hAnsi="Tw Cen MT" w:cs="Arial"/>
        </w:rPr>
        <w:t xml:space="preserve">well as control of the learning </w:t>
      </w:r>
      <w:r w:rsidRPr="00D535CF">
        <w:rPr>
          <w:rFonts w:ascii="Tw Cen MT" w:eastAsia="Times New Roman" w:hAnsi="Tw Cen MT" w:cs="Arial"/>
        </w:rPr>
        <w:t xml:space="preserve">environment, service-learning may not be a good fit. In college courses, learning strategies </w:t>
      </w:r>
      <w:r w:rsidR="006A04B5" w:rsidRPr="00D535CF">
        <w:rPr>
          <w:rFonts w:ascii="Tw Cen MT" w:eastAsia="Times New Roman" w:hAnsi="Tw Cen MT" w:cs="Arial"/>
        </w:rPr>
        <w:t xml:space="preserve">largely </w:t>
      </w:r>
      <w:r w:rsidRPr="00D535CF">
        <w:rPr>
          <w:rFonts w:ascii="Tw Cen MT" w:eastAsia="Times New Roman" w:hAnsi="Tw Cen MT" w:cs="Arial"/>
        </w:rPr>
        <w:t>determine student outcomes, and this is true in service-learning course</w:t>
      </w:r>
      <w:r w:rsidR="006A04B5" w:rsidRPr="00D535CF">
        <w:rPr>
          <w:rFonts w:ascii="Tw Cen MT" w:eastAsia="Times New Roman" w:hAnsi="Tw Cen MT" w:cs="Arial"/>
        </w:rPr>
        <w:t xml:space="preserve">s, too. However, in traditional </w:t>
      </w:r>
      <w:r w:rsidRPr="00D535CF">
        <w:rPr>
          <w:rFonts w:ascii="Tw Cen MT" w:eastAsia="Times New Roman" w:hAnsi="Tw Cen MT" w:cs="Arial"/>
        </w:rPr>
        <w:t>courses, the learning strategies (i.e., lectures, labs, and reading) are constant for all enrolled students and under the watchful eye of the faculty member. In service-learning courses, given variability in service experiences and their influential role in student learn</w:t>
      </w:r>
      <w:r w:rsidR="006A04B5" w:rsidRPr="00D535CF">
        <w:rPr>
          <w:rFonts w:ascii="Tw Cen MT" w:eastAsia="Times New Roman" w:hAnsi="Tw Cen MT" w:cs="Arial"/>
        </w:rPr>
        <w:t xml:space="preserve">ing, one can anticipate greater </w:t>
      </w:r>
      <w:r w:rsidRPr="00D535CF">
        <w:rPr>
          <w:rFonts w:ascii="Tw Cen MT" w:eastAsia="Times New Roman" w:hAnsi="Tw Cen MT" w:cs="Arial"/>
        </w:rPr>
        <w:t>heterogeneity in student learning outcomes and compromises to faculty control. Even when service</w:t>
      </w:r>
      <w:r w:rsidR="006A04B5" w:rsidRPr="00D535CF">
        <w:rPr>
          <w:rFonts w:ascii="Tw Cen MT" w:eastAsia="Times New Roman" w:hAnsi="Tw Cen MT" w:cs="Arial"/>
        </w:rPr>
        <w:t xml:space="preserve"> </w:t>
      </w:r>
      <w:r w:rsidRPr="00D535CF">
        <w:rPr>
          <w:rFonts w:ascii="Tw Cen MT" w:eastAsia="Times New Roman" w:hAnsi="Tw Cen MT" w:cs="Arial"/>
        </w:rPr>
        <w:t>learning students are exposed to the same presentations and the</w:t>
      </w:r>
      <w:r w:rsidR="006A04B5" w:rsidRPr="00D535CF">
        <w:rPr>
          <w:rFonts w:ascii="Tw Cen MT" w:eastAsia="Times New Roman" w:hAnsi="Tw Cen MT" w:cs="Arial"/>
        </w:rPr>
        <w:t xml:space="preserve"> same readings, instructors can </w:t>
      </w:r>
      <w:r w:rsidRPr="00D535CF">
        <w:rPr>
          <w:rFonts w:ascii="Tw Cen MT" w:eastAsia="Times New Roman" w:hAnsi="Tw Cen MT" w:cs="Arial"/>
        </w:rPr>
        <w:t>expect that classroom discussions will be less predictable and the con</w:t>
      </w:r>
      <w:r w:rsidR="006A04B5" w:rsidRPr="00D535CF">
        <w:rPr>
          <w:rFonts w:ascii="Tw Cen MT" w:eastAsia="Times New Roman" w:hAnsi="Tw Cen MT" w:cs="Arial"/>
        </w:rPr>
        <w:t xml:space="preserve">tent of student papers/projects </w:t>
      </w:r>
      <w:r w:rsidRPr="00D535CF">
        <w:rPr>
          <w:rFonts w:ascii="Tw Cen MT" w:eastAsia="Times New Roman" w:hAnsi="Tw Cen MT" w:cs="Arial"/>
        </w:rPr>
        <w:t xml:space="preserve">less homogeneous than in courses without a service assignment. As </w:t>
      </w:r>
      <w:r w:rsidR="006A04B5" w:rsidRPr="00D535CF">
        <w:rPr>
          <w:rFonts w:ascii="Tw Cen MT" w:eastAsia="Times New Roman" w:hAnsi="Tw Cen MT" w:cs="Arial"/>
        </w:rPr>
        <w:t xml:space="preserve">an instructor, are you prepared </w:t>
      </w:r>
      <w:r w:rsidRPr="00D535CF">
        <w:rPr>
          <w:rFonts w:ascii="Tw Cen MT" w:eastAsia="Times New Roman" w:hAnsi="Tw Cen MT" w:cs="Arial"/>
        </w:rPr>
        <w:t>for greater heterogeneity in student learning outcomes and some</w:t>
      </w:r>
      <w:r w:rsidR="006A04B5" w:rsidRPr="00D535CF">
        <w:rPr>
          <w:rFonts w:ascii="Tw Cen MT" w:eastAsia="Times New Roman" w:hAnsi="Tw Cen MT" w:cs="Arial"/>
        </w:rPr>
        <w:t xml:space="preserve"> degree of loss of control over </w:t>
      </w:r>
      <w:r w:rsidRPr="00D535CF">
        <w:rPr>
          <w:rFonts w:ascii="Tw Cen MT" w:eastAsia="Times New Roman" w:hAnsi="Tw Cen MT" w:cs="Arial"/>
        </w:rPr>
        <w:t>student learning stimuli?</w:t>
      </w:r>
    </w:p>
    <w:p w:rsidR="00164D8E" w:rsidRPr="00D535CF" w:rsidRDefault="00164D8E" w:rsidP="00B447D6">
      <w:pPr>
        <w:rPr>
          <w:rFonts w:ascii="Tw Cen MT" w:eastAsia="Times New Roman" w:hAnsi="Tw Cen MT" w:cs="Arial"/>
        </w:rPr>
      </w:pPr>
    </w:p>
    <w:p w:rsidR="00B447D6" w:rsidRPr="00D535CF" w:rsidRDefault="00B447D6" w:rsidP="00B447D6">
      <w:pPr>
        <w:rPr>
          <w:rFonts w:ascii="Tw Cen MT" w:eastAsia="Times New Roman" w:hAnsi="Tw Cen MT" w:cs="Arial"/>
          <w:b/>
        </w:rPr>
      </w:pPr>
      <w:r w:rsidRPr="00D535CF">
        <w:rPr>
          <w:rFonts w:ascii="Tw Cen MT" w:eastAsia="Times New Roman" w:hAnsi="Tw Cen MT" w:cs="Arial"/>
          <w:b/>
        </w:rPr>
        <w:lastRenderedPageBreak/>
        <w:t>Principle 10: Maximize the Community Responsibility Orientation of the Course</w:t>
      </w:r>
    </w:p>
    <w:p w:rsidR="003138FF" w:rsidRPr="00D535CF" w:rsidRDefault="00B447D6" w:rsidP="00B447D6">
      <w:pPr>
        <w:rPr>
          <w:rFonts w:ascii="Tw Cen MT" w:eastAsia="Times New Roman" w:hAnsi="Tw Cen MT" w:cs="Arial"/>
        </w:rPr>
      </w:pPr>
      <w:r w:rsidRPr="00D535CF">
        <w:rPr>
          <w:rFonts w:ascii="Tw Cen MT" w:eastAsia="Times New Roman" w:hAnsi="Tw Cen MT" w:cs="Arial"/>
        </w:rPr>
        <w:t>This principle is for those who think that civic learning can only sp</w:t>
      </w:r>
      <w:r w:rsidR="00164D8E" w:rsidRPr="00D535CF">
        <w:rPr>
          <w:rFonts w:ascii="Tw Cen MT" w:eastAsia="Times New Roman" w:hAnsi="Tw Cen MT" w:cs="Arial"/>
        </w:rPr>
        <w:t xml:space="preserve">ring from the community service </w:t>
      </w:r>
      <w:r w:rsidRPr="00D535CF">
        <w:rPr>
          <w:rFonts w:ascii="Tw Cen MT" w:eastAsia="Times New Roman" w:hAnsi="Tw Cen MT" w:cs="Arial"/>
        </w:rPr>
        <w:t>component of a course. One of the necessary conditions of a servic</w:t>
      </w:r>
      <w:r w:rsidR="00164D8E" w:rsidRPr="00D535CF">
        <w:rPr>
          <w:rFonts w:ascii="Tw Cen MT" w:eastAsia="Times New Roman" w:hAnsi="Tw Cen MT" w:cs="Arial"/>
        </w:rPr>
        <w:t xml:space="preserve">e-learning course is purposeful </w:t>
      </w:r>
      <w:r w:rsidRPr="00D535CF">
        <w:rPr>
          <w:rFonts w:ascii="Tw Cen MT" w:eastAsia="Times New Roman" w:hAnsi="Tw Cen MT" w:cs="Arial"/>
        </w:rPr>
        <w:t>civic learning. Designing classroom norms and learning strategies that not on</w:t>
      </w:r>
      <w:r w:rsidR="00164D8E" w:rsidRPr="00D535CF">
        <w:rPr>
          <w:rFonts w:ascii="Tw Cen MT" w:eastAsia="Times New Roman" w:hAnsi="Tw Cen MT" w:cs="Arial"/>
        </w:rPr>
        <w:t xml:space="preserve">ly enhance academic </w:t>
      </w:r>
      <w:r w:rsidRPr="00D535CF">
        <w:rPr>
          <w:rFonts w:ascii="Tw Cen MT" w:eastAsia="Times New Roman" w:hAnsi="Tw Cen MT" w:cs="Arial"/>
        </w:rPr>
        <w:t>learning but also encourage civic learning are essential to purpos</w:t>
      </w:r>
      <w:r w:rsidR="00164D8E" w:rsidRPr="00D535CF">
        <w:rPr>
          <w:rFonts w:ascii="Tw Cen MT" w:eastAsia="Times New Roman" w:hAnsi="Tw Cen MT" w:cs="Arial"/>
        </w:rPr>
        <w:t xml:space="preserve">eful civic learning. While most </w:t>
      </w:r>
      <w:r w:rsidRPr="00D535CF">
        <w:rPr>
          <w:rFonts w:ascii="Tw Cen MT" w:eastAsia="Times New Roman" w:hAnsi="Tw Cen MT" w:cs="Arial"/>
        </w:rPr>
        <w:t>traditional courses are organized for private learning that advances the individual student, service</w:t>
      </w:r>
      <w:r w:rsidR="00164D8E" w:rsidRPr="00D535CF">
        <w:rPr>
          <w:rFonts w:ascii="Tw Cen MT" w:eastAsia="Times New Roman" w:hAnsi="Tw Cen MT" w:cs="Arial"/>
        </w:rPr>
        <w:t xml:space="preserve"> </w:t>
      </w:r>
      <w:r w:rsidRPr="00D535CF">
        <w:rPr>
          <w:rFonts w:ascii="Tw Cen MT" w:eastAsia="Times New Roman" w:hAnsi="Tw Cen MT" w:cs="Arial"/>
        </w:rPr>
        <w:t>learning instructors should consider employing learning strategies that will complement and reinforce the civic lessons from the community experience. For example, efforts to convert from individual to group assignments and from instructor-only to instructor and student review of student</w:t>
      </w:r>
      <w:r w:rsidR="00164D8E" w:rsidRPr="00D535CF">
        <w:rPr>
          <w:rFonts w:ascii="Tw Cen MT" w:eastAsia="Times New Roman" w:hAnsi="Tw Cen MT" w:cs="Arial"/>
        </w:rPr>
        <w:t xml:space="preserve"> </w:t>
      </w:r>
      <w:r w:rsidRPr="00D535CF">
        <w:rPr>
          <w:rFonts w:ascii="Tw Cen MT" w:eastAsia="Times New Roman" w:hAnsi="Tw Cen MT" w:cs="Arial"/>
        </w:rPr>
        <w:t>assignments, re-norms the teaching-learning process to be consistent with the civic orientation of</w:t>
      </w:r>
      <w:r w:rsidR="00164D8E" w:rsidRPr="00D535CF">
        <w:rPr>
          <w:rFonts w:ascii="Tw Cen MT" w:eastAsia="Times New Roman" w:hAnsi="Tw Cen MT" w:cs="Arial"/>
        </w:rPr>
        <w:t xml:space="preserve"> </w:t>
      </w:r>
      <w:r w:rsidRPr="00D535CF">
        <w:rPr>
          <w:rFonts w:ascii="Tw Cen MT" w:eastAsia="Times New Roman" w:hAnsi="Tw Cen MT" w:cs="Arial"/>
        </w:rPr>
        <w:t>service-learning.</w:t>
      </w:r>
    </w:p>
    <w:p w:rsidR="00DB1A7E" w:rsidRPr="00D535CF" w:rsidRDefault="00DB1A7E" w:rsidP="00DB1A7E">
      <w:pPr>
        <w:rPr>
          <w:rFonts w:ascii="Tw Cen MT" w:eastAsia="Times New Roman" w:hAnsi="Tw Cen MT" w:cs="Arial"/>
        </w:rPr>
      </w:pPr>
    </w:p>
    <w:p w:rsidR="006A04B5" w:rsidRPr="00D535CF" w:rsidRDefault="006A04B5">
      <w:pPr>
        <w:rPr>
          <w:rFonts w:ascii="Tw Cen MT" w:eastAsia="Times New Roman" w:hAnsi="Tw Cen MT" w:cs="Arial"/>
        </w:rPr>
      </w:pPr>
      <w:r w:rsidRPr="00D535CF">
        <w:rPr>
          <w:rFonts w:ascii="Tw Cen MT" w:hAnsi="Tw Cen MT" w:cs="Arial"/>
        </w:rPr>
        <w:br w:type="page"/>
      </w:r>
    </w:p>
    <w:p w:rsidR="00C0044F" w:rsidRPr="00D535CF" w:rsidRDefault="00C0044F" w:rsidP="000169A0">
      <w:pPr>
        <w:pStyle w:val="NormalWeb"/>
        <w:shd w:val="clear" w:color="auto" w:fill="FFFFFF"/>
        <w:spacing w:before="0" w:beforeAutospacing="0" w:after="0" w:afterAutospacing="0"/>
        <w:textAlignment w:val="baseline"/>
        <w:rPr>
          <w:rFonts w:ascii="Tw Cen MT" w:hAnsi="Tw Cen MT" w:cs="Arial"/>
        </w:rPr>
      </w:pPr>
    </w:p>
    <w:p w:rsidR="0016410A" w:rsidRPr="00D535CF" w:rsidRDefault="003138FF" w:rsidP="0016410A">
      <w:pPr>
        <w:jc w:val="center"/>
        <w:rPr>
          <w:rFonts w:ascii="Tw Cen MT" w:hAnsi="Tw Cen MT"/>
          <w:b/>
          <w:sz w:val="32"/>
          <w:szCs w:val="32"/>
        </w:rPr>
      </w:pPr>
      <w:r w:rsidRPr="00D535CF">
        <w:rPr>
          <w:rFonts w:ascii="Tw Cen MT" w:hAnsi="Tw Cen MT"/>
          <w:b/>
          <w:sz w:val="32"/>
          <w:szCs w:val="32"/>
        </w:rPr>
        <w:t xml:space="preserve">Additional </w:t>
      </w:r>
      <w:r w:rsidR="0016410A" w:rsidRPr="00D535CF">
        <w:rPr>
          <w:rFonts w:ascii="Tw Cen MT" w:hAnsi="Tw Cen MT"/>
          <w:b/>
          <w:sz w:val="32"/>
          <w:szCs w:val="32"/>
        </w:rPr>
        <w:t>Resources on Motivating Students</w:t>
      </w:r>
    </w:p>
    <w:p w:rsidR="0016410A" w:rsidRPr="00D535CF" w:rsidRDefault="0016410A" w:rsidP="0016410A">
      <w:pPr>
        <w:rPr>
          <w:rFonts w:ascii="Tw Cen MT" w:hAnsi="Tw Cen MT"/>
          <w:b/>
        </w:rPr>
      </w:pPr>
    </w:p>
    <w:p w:rsidR="0016410A" w:rsidRPr="00D535CF" w:rsidRDefault="0016410A" w:rsidP="0016410A">
      <w:pPr>
        <w:rPr>
          <w:rFonts w:ascii="Tw Cen MT" w:hAnsi="Tw Cen MT"/>
          <w:b/>
          <w:sz w:val="28"/>
          <w:szCs w:val="28"/>
        </w:rPr>
      </w:pPr>
      <w:r w:rsidRPr="00D535CF">
        <w:rPr>
          <w:rFonts w:ascii="Tw Cen MT" w:hAnsi="Tw Cen MT"/>
          <w:b/>
          <w:sz w:val="28"/>
          <w:szCs w:val="28"/>
        </w:rPr>
        <w:t>Web Resources</w:t>
      </w:r>
    </w:p>
    <w:p w:rsidR="0016410A" w:rsidRPr="00D535CF" w:rsidRDefault="0016410A" w:rsidP="0016410A">
      <w:pPr>
        <w:rPr>
          <w:rFonts w:ascii="Tw Cen MT" w:hAnsi="Tw Cen MT"/>
          <w:b/>
        </w:rPr>
      </w:pPr>
    </w:p>
    <w:p w:rsidR="0016410A" w:rsidRPr="00D535CF" w:rsidRDefault="0016410A" w:rsidP="00164D8E">
      <w:pPr>
        <w:numPr>
          <w:ilvl w:val="0"/>
          <w:numId w:val="10"/>
        </w:numPr>
        <w:rPr>
          <w:rFonts w:ascii="Tw Cen MT" w:hAnsi="Tw Cen MT"/>
        </w:rPr>
      </w:pPr>
      <w:r w:rsidRPr="00D535CF">
        <w:rPr>
          <w:rFonts w:ascii="Tw Cen MT" w:hAnsi="Tw Cen MT"/>
        </w:rPr>
        <w:t>Vanderbilt CFT Teaching Guide on Motivating Students</w:t>
      </w:r>
    </w:p>
    <w:p w:rsidR="0016410A" w:rsidRPr="00D535CF" w:rsidRDefault="00513C19" w:rsidP="00164D8E">
      <w:pPr>
        <w:ind w:left="720"/>
        <w:rPr>
          <w:rFonts w:ascii="Tw Cen MT" w:hAnsi="Tw Cen MT"/>
        </w:rPr>
      </w:pPr>
      <w:hyperlink r:id="rId22" w:history="1">
        <w:r w:rsidR="0016410A" w:rsidRPr="00D535CF">
          <w:rPr>
            <w:rStyle w:val="Hyperlink"/>
            <w:rFonts w:ascii="Tw Cen MT" w:hAnsi="Tw Cen MT"/>
            <w:color w:val="auto"/>
          </w:rPr>
          <w:t>http://cft.vanderbilt.edu/teaching-guides/interactions/motivating-students/</w:t>
        </w:r>
      </w:hyperlink>
    </w:p>
    <w:p w:rsidR="0016410A" w:rsidRPr="00D535CF" w:rsidRDefault="0016410A" w:rsidP="00164D8E">
      <w:pPr>
        <w:ind w:left="720"/>
        <w:rPr>
          <w:rFonts w:ascii="Tw Cen MT" w:hAnsi="Tw Cen MT"/>
        </w:rPr>
      </w:pPr>
    </w:p>
    <w:p w:rsidR="0016410A" w:rsidRPr="00D535CF" w:rsidRDefault="0016410A" w:rsidP="00164D8E">
      <w:pPr>
        <w:numPr>
          <w:ilvl w:val="0"/>
          <w:numId w:val="10"/>
        </w:numPr>
        <w:rPr>
          <w:rFonts w:ascii="Tw Cen MT" w:hAnsi="Tw Cen MT"/>
        </w:rPr>
      </w:pPr>
      <w:r w:rsidRPr="00D535CF">
        <w:rPr>
          <w:rFonts w:ascii="Tw Cen MT" w:hAnsi="Tw Cen MT"/>
        </w:rPr>
        <w:t xml:space="preserve">Motivating Students, from </w:t>
      </w:r>
      <w:r w:rsidRPr="00D535CF">
        <w:rPr>
          <w:rFonts w:ascii="Tw Cen MT" w:hAnsi="Tw Cen MT"/>
          <w:i/>
        </w:rPr>
        <w:t>Tools for Teaching</w:t>
      </w:r>
      <w:r w:rsidRPr="00D535CF">
        <w:rPr>
          <w:rFonts w:ascii="Tw Cen MT" w:hAnsi="Tw Cen MT"/>
        </w:rPr>
        <w:t xml:space="preserve"> by Barbara Gross Davis</w:t>
      </w:r>
    </w:p>
    <w:p w:rsidR="0016410A" w:rsidRPr="00D535CF" w:rsidRDefault="00513C19" w:rsidP="00164D8E">
      <w:pPr>
        <w:ind w:left="360" w:firstLine="360"/>
        <w:rPr>
          <w:rFonts w:ascii="Tw Cen MT" w:hAnsi="Tw Cen MT"/>
        </w:rPr>
      </w:pPr>
      <w:hyperlink r:id="rId23" w:history="1">
        <w:r w:rsidR="0016410A" w:rsidRPr="00D535CF">
          <w:rPr>
            <w:rStyle w:val="Hyperlink"/>
            <w:rFonts w:ascii="Tw Cen MT" w:hAnsi="Tw Cen MT"/>
            <w:color w:val="auto"/>
          </w:rPr>
          <w:t>http://teaching.berkeley.edu/bgd/motivate.html</w:t>
        </w:r>
      </w:hyperlink>
    </w:p>
    <w:p w:rsidR="0016410A" w:rsidRPr="00D535CF" w:rsidRDefault="0016410A" w:rsidP="00164D8E">
      <w:pPr>
        <w:rPr>
          <w:rFonts w:ascii="Tw Cen MT" w:hAnsi="Tw Cen MT"/>
        </w:rPr>
      </w:pPr>
    </w:p>
    <w:p w:rsidR="00164D8E" w:rsidRPr="00D535CF" w:rsidRDefault="0016410A" w:rsidP="00164D8E">
      <w:pPr>
        <w:numPr>
          <w:ilvl w:val="0"/>
          <w:numId w:val="10"/>
        </w:numPr>
        <w:rPr>
          <w:rFonts w:ascii="Tw Cen MT" w:hAnsi="Tw Cen MT"/>
        </w:rPr>
      </w:pPr>
      <w:r w:rsidRPr="00D535CF">
        <w:rPr>
          <w:rFonts w:ascii="Tw Cen MT" w:hAnsi="Tw Cen MT"/>
        </w:rPr>
        <w:t>Motivating Students from On the Cutting Edge – Professional Development for Geoscience Faculty (National Association of Geoscience Teachers)</w:t>
      </w:r>
      <w:r w:rsidR="00164D8E" w:rsidRPr="00D535CF">
        <w:rPr>
          <w:rFonts w:ascii="Tw Cen MT" w:hAnsi="Tw Cen MT"/>
        </w:rPr>
        <w:t xml:space="preserve"> </w:t>
      </w:r>
    </w:p>
    <w:p w:rsidR="0016410A" w:rsidRPr="00D535CF" w:rsidRDefault="00513C19" w:rsidP="00164D8E">
      <w:pPr>
        <w:ind w:left="720"/>
        <w:rPr>
          <w:rFonts w:ascii="Tw Cen MT" w:hAnsi="Tw Cen MT"/>
        </w:rPr>
      </w:pPr>
      <w:hyperlink r:id="rId24" w:history="1">
        <w:r w:rsidR="0016410A" w:rsidRPr="00D535CF">
          <w:rPr>
            <w:rStyle w:val="Hyperlink"/>
            <w:rFonts w:ascii="Tw Cen MT" w:hAnsi="Tw Cen MT"/>
            <w:color w:val="auto"/>
          </w:rPr>
          <w:t>http://serc.carleton.edu/NAGTWorkshops/affective/motivation.html</w:t>
        </w:r>
      </w:hyperlink>
    </w:p>
    <w:p w:rsidR="0016410A" w:rsidRPr="00D535CF" w:rsidRDefault="0016410A" w:rsidP="00164D8E">
      <w:pPr>
        <w:ind w:left="720"/>
        <w:rPr>
          <w:rFonts w:ascii="Tw Cen MT" w:hAnsi="Tw Cen MT"/>
        </w:rPr>
      </w:pPr>
    </w:p>
    <w:p w:rsidR="0016410A" w:rsidRPr="00D535CF" w:rsidRDefault="0016410A" w:rsidP="00164D8E">
      <w:pPr>
        <w:numPr>
          <w:ilvl w:val="0"/>
          <w:numId w:val="10"/>
        </w:numPr>
        <w:rPr>
          <w:rFonts w:ascii="Tw Cen MT" w:hAnsi="Tw Cen MT"/>
        </w:rPr>
      </w:pPr>
      <w:r w:rsidRPr="00D535CF">
        <w:rPr>
          <w:rFonts w:ascii="Tw Cen MT" w:hAnsi="Tw Cen MT"/>
        </w:rPr>
        <w:t xml:space="preserve">Derek </w:t>
      </w:r>
      <w:proofErr w:type="spellStart"/>
      <w:r w:rsidRPr="00D535CF">
        <w:rPr>
          <w:rFonts w:ascii="Tw Cen MT" w:hAnsi="Tw Cen MT"/>
        </w:rPr>
        <w:t>Bruff’s</w:t>
      </w:r>
      <w:proofErr w:type="spellEnd"/>
      <w:r w:rsidRPr="00D535CF">
        <w:rPr>
          <w:rFonts w:ascii="Tw Cen MT" w:hAnsi="Tw Cen MT"/>
        </w:rPr>
        <w:t xml:space="preserve"> Blog Posts (CFT Director)</w:t>
      </w:r>
    </w:p>
    <w:p w:rsidR="0016410A" w:rsidRPr="00D535CF" w:rsidRDefault="00513C19" w:rsidP="00164D8E">
      <w:pPr>
        <w:ind w:left="360" w:firstLine="360"/>
        <w:rPr>
          <w:rFonts w:ascii="Tw Cen MT" w:hAnsi="Tw Cen MT"/>
        </w:rPr>
      </w:pPr>
      <w:hyperlink r:id="rId25" w:history="1">
        <w:r w:rsidR="0016410A" w:rsidRPr="00D535CF">
          <w:rPr>
            <w:rStyle w:val="Hyperlink"/>
            <w:rFonts w:ascii="Tw Cen MT" w:hAnsi="Tw Cen MT"/>
            <w:color w:val="auto"/>
          </w:rPr>
          <w:t>http://derekbruff.com/site/blog/category/student-motivation/</w:t>
        </w:r>
      </w:hyperlink>
    </w:p>
    <w:p w:rsidR="00DB1A7E" w:rsidRPr="00D535CF" w:rsidRDefault="00DB1A7E" w:rsidP="00164D8E">
      <w:pPr>
        <w:ind w:left="360" w:firstLine="360"/>
        <w:rPr>
          <w:rFonts w:ascii="Tw Cen MT" w:hAnsi="Tw Cen MT"/>
        </w:rPr>
      </w:pPr>
    </w:p>
    <w:p w:rsidR="00164D8E" w:rsidRPr="00D535CF" w:rsidRDefault="00DB1A7E" w:rsidP="00164D8E">
      <w:pPr>
        <w:pStyle w:val="NormalWeb"/>
        <w:numPr>
          <w:ilvl w:val="0"/>
          <w:numId w:val="12"/>
        </w:numPr>
        <w:shd w:val="clear" w:color="auto" w:fill="FFFFFF"/>
        <w:spacing w:before="0" w:beforeAutospacing="0" w:after="0" w:afterAutospacing="0"/>
        <w:rPr>
          <w:rFonts w:ascii="Tw Cen MT" w:hAnsi="Tw Cen MT"/>
        </w:rPr>
      </w:pPr>
      <w:r w:rsidRPr="00D535CF">
        <w:rPr>
          <w:rStyle w:val="Strong"/>
          <w:rFonts w:ascii="Tw Cen MT" w:hAnsi="Tw Cen MT"/>
          <w:b w:val="0"/>
          <w:iCs/>
        </w:rPr>
        <w:t xml:space="preserve">Designing for Difficulty: Social Pedagogies as a Framework for Course Design by </w:t>
      </w:r>
      <w:r w:rsidRPr="00D535CF">
        <w:rPr>
          <w:rFonts w:ascii="Tw Cen MT" w:hAnsi="Tw Cen MT"/>
        </w:rPr>
        <w:t>Randy Bass and Heidi Elmendorf</w:t>
      </w:r>
      <w:r w:rsidRPr="00D535CF">
        <w:rPr>
          <w:rStyle w:val="apple-converted-space"/>
          <w:rFonts w:ascii="Tw Cen MT" w:hAnsi="Tw Cen MT"/>
        </w:rPr>
        <w:t> </w:t>
      </w:r>
      <w:r w:rsidR="00164D8E" w:rsidRPr="00D535CF">
        <w:rPr>
          <w:rFonts w:ascii="Tw Cen MT" w:hAnsi="Tw Cen MT"/>
        </w:rPr>
        <w:t>Georgetown University</w:t>
      </w:r>
    </w:p>
    <w:p w:rsidR="00DB1A7E" w:rsidRPr="00D535CF" w:rsidRDefault="00DB1A7E" w:rsidP="00164D8E">
      <w:pPr>
        <w:pStyle w:val="NormalWeb"/>
        <w:shd w:val="clear" w:color="auto" w:fill="FFFFFF"/>
        <w:spacing w:before="0" w:beforeAutospacing="0" w:after="0" w:afterAutospacing="0"/>
        <w:ind w:left="771"/>
        <w:rPr>
          <w:rFonts w:ascii="Tw Cen MT" w:hAnsi="Tw Cen MT"/>
        </w:rPr>
      </w:pPr>
      <w:r w:rsidRPr="00D535CF">
        <w:rPr>
          <w:rFonts w:ascii="Tw Cen MT" w:hAnsi="Tw Cen MT"/>
        </w:rPr>
        <w:t>(</w:t>
      </w:r>
      <w:hyperlink r:id="rId26" w:history="1">
        <w:r w:rsidRPr="00D535CF">
          <w:rPr>
            <w:rStyle w:val="Hyperlink"/>
            <w:rFonts w:ascii="Tw Cen MT" w:hAnsi="Tw Cen MT"/>
            <w:color w:val="auto"/>
          </w:rPr>
          <w:t>https://blogs.commons.georgetown.edu/bassr/social-pedagogies/</w:t>
        </w:r>
      </w:hyperlink>
      <w:r w:rsidRPr="00D535CF">
        <w:rPr>
          <w:rFonts w:ascii="Tw Cen MT" w:hAnsi="Tw Cen MT"/>
        </w:rPr>
        <w:t>)</w:t>
      </w:r>
    </w:p>
    <w:p w:rsidR="006A04B5" w:rsidRPr="00D535CF" w:rsidRDefault="006A04B5" w:rsidP="00164D8E">
      <w:pPr>
        <w:pStyle w:val="NormalWeb"/>
        <w:shd w:val="clear" w:color="auto" w:fill="FFFFFF"/>
        <w:spacing w:before="0" w:beforeAutospacing="0" w:after="0" w:afterAutospacing="0"/>
        <w:ind w:left="771"/>
        <w:rPr>
          <w:rFonts w:ascii="Tw Cen MT" w:hAnsi="Tw Cen MT"/>
        </w:rPr>
      </w:pPr>
    </w:p>
    <w:p w:rsidR="00164D8E" w:rsidRPr="00D535CF" w:rsidRDefault="006A04B5" w:rsidP="00164D8E">
      <w:pPr>
        <w:numPr>
          <w:ilvl w:val="0"/>
          <w:numId w:val="10"/>
        </w:numPr>
        <w:rPr>
          <w:rFonts w:ascii="Tw Cen MT" w:hAnsi="Tw Cen MT"/>
        </w:rPr>
      </w:pPr>
      <w:r w:rsidRPr="00D535CF">
        <w:rPr>
          <w:rFonts w:ascii="Tw Cen MT" w:hAnsi="Tw Cen MT"/>
        </w:rPr>
        <w:t>Vanderbilt CFT Teaching Guide on Service Learning</w:t>
      </w:r>
      <w:r w:rsidR="00164D8E" w:rsidRPr="00D535CF">
        <w:rPr>
          <w:rFonts w:ascii="Tw Cen MT" w:hAnsi="Tw Cen MT"/>
        </w:rPr>
        <w:t xml:space="preserve"> and Community Engagement </w:t>
      </w:r>
    </w:p>
    <w:p w:rsidR="00164D8E" w:rsidRPr="00D535CF" w:rsidRDefault="00513C19" w:rsidP="00164D8E">
      <w:pPr>
        <w:pStyle w:val="NormalWeb"/>
        <w:shd w:val="clear" w:color="auto" w:fill="FFFFFF"/>
        <w:spacing w:before="0" w:beforeAutospacing="0" w:after="0" w:afterAutospacing="0"/>
        <w:ind w:left="771"/>
        <w:rPr>
          <w:rFonts w:ascii="Tw Cen MT" w:hAnsi="Tw Cen MT"/>
        </w:rPr>
      </w:pPr>
      <w:hyperlink r:id="rId27" w:history="1">
        <w:r w:rsidR="00164D8E" w:rsidRPr="00D535CF">
          <w:rPr>
            <w:rStyle w:val="Hyperlink"/>
            <w:rFonts w:ascii="Tw Cen MT" w:hAnsi="Tw Cen MT"/>
            <w:color w:val="auto"/>
          </w:rPr>
          <w:t>http://cft.vanderbilt.edu/teaching-guides/teaching-through-community-engagement/</w:t>
        </w:r>
      </w:hyperlink>
    </w:p>
    <w:p w:rsidR="00DB1A7E" w:rsidRPr="00D535CF" w:rsidRDefault="00DB1A7E" w:rsidP="00164D8E">
      <w:pPr>
        <w:ind w:left="360" w:firstLine="360"/>
        <w:rPr>
          <w:rFonts w:ascii="Tw Cen MT" w:hAnsi="Tw Cen MT"/>
          <w:sz w:val="20"/>
          <w:szCs w:val="20"/>
        </w:rPr>
      </w:pPr>
    </w:p>
    <w:p w:rsidR="0016410A" w:rsidRPr="00D535CF" w:rsidRDefault="0016410A" w:rsidP="0016410A">
      <w:pPr>
        <w:rPr>
          <w:rFonts w:ascii="Tw Cen MT" w:hAnsi="Tw Cen MT"/>
          <w:b/>
        </w:rPr>
      </w:pPr>
    </w:p>
    <w:p w:rsidR="0016410A" w:rsidRPr="00D535CF" w:rsidRDefault="0016410A" w:rsidP="0016410A">
      <w:pPr>
        <w:rPr>
          <w:rFonts w:ascii="Tw Cen MT" w:hAnsi="Tw Cen MT"/>
        </w:rPr>
      </w:pPr>
      <w:r w:rsidRPr="00D535CF">
        <w:rPr>
          <w:rFonts w:ascii="Tw Cen MT" w:hAnsi="Tw Cen MT"/>
          <w:b/>
          <w:sz w:val="28"/>
          <w:szCs w:val="28"/>
        </w:rPr>
        <w:t xml:space="preserve">Books </w:t>
      </w:r>
      <w:r w:rsidRPr="00D535CF">
        <w:rPr>
          <w:rFonts w:ascii="Tw Cen MT" w:hAnsi="Tw Cen MT"/>
        </w:rPr>
        <w:t>(available in CFT library)</w:t>
      </w:r>
    </w:p>
    <w:p w:rsidR="0016410A" w:rsidRPr="00D535CF" w:rsidRDefault="0016410A" w:rsidP="0016410A">
      <w:pPr>
        <w:rPr>
          <w:rFonts w:ascii="Tw Cen MT" w:hAnsi="Tw Cen MT"/>
        </w:rPr>
      </w:pPr>
    </w:p>
    <w:p w:rsidR="0016410A" w:rsidRPr="00D535CF" w:rsidRDefault="0016410A" w:rsidP="0016410A">
      <w:pPr>
        <w:numPr>
          <w:ilvl w:val="0"/>
          <w:numId w:val="10"/>
        </w:numPr>
        <w:tabs>
          <w:tab w:val="left" w:pos="1080"/>
        </w:tabs>
        <w:rPr>
          <w:rFonts w:ascii="Tw Cen MT" w:hAnsi="Tw Cen MT"/>
        </w:rPr>
      </w:pPr>
      <w:r w:rsidRPr="00D535CF">
        <w:rPr>
          <w:rFonts w:ascii="Tw Cen MT" w:hAnsi="Tw Cen MT"/>
        </w:rPr>
        <w:t xml:space="preserve">Bain, K. </w:t>
      </w:r>
      <w:r w:rsidRPr="00D535CF">
        <w:rPr>
          <w:rFonts w:ascii="Tw Cen MT" w:hAnsi="Tw Cen MT"/>
          <w:i/>
        </w:rPr>
        <w:t>What the Best College Teachers Do</w:t>
      </w:r>
      <w:r w:rsidRPr="00D535CF">
        <w:rPr>
          <w:rFonts w:ascii="Tw Cen MT" w:hAnsi="Tw Cen MT"/>
        </w:rPr>
        <w:t>. Cambridge, Mass.: Harvard University Press, 2004.</w:t>
      </w:r>
    </w:p>
    <w:p w:rsidR="0016410A" w:rsidRPr="00D535CF" w:rsidRDefault="0016410A" w:rsidP="0016410A">
      <w:pPr>
        <w:tabs>
          <w:tab w:val="left" w:pos="1080"/>
        </w:tabs>
        <w:ind w:left="360"/>
        <w:rPr>
          <w:rFonts w:ascii="Tw Cen MT" w:hAnsi="Tw Cen MT"/>
        </w:rPr>
      </w:pPr>
    </w:p>
    <w:p w:rsidR="003A174F" w:rsidRDefault="0016410A" w:rsidP="0016410A">
      <w:pPr>
        <w:numPr>
          <w:ilvl w:val="0"/>
          <w:numId w:val="10"/>
        </w:numPr>
        <w:rPr>
          <w:rFonts w:ascii="Tw Cen MT" w:hAnsi="Tw Cen MT"/>
        </w:rPr>
      </w:pPr>
      <w:proofErr w:type="spellStart"/>
      <w:r w:rsidRPr="00D535CF">
        <w:rPr>
          <w:rFonts w:ascii="Tw Cen MT" w:hAnsi="Tw Cen MT"/>
        </w:rPr>
        <w:t>McKeachie</w:t>
      </w:r>
      <w:proofErr w:type="spellEnd"/>
      <w:r w:rsidRPr="00D535CF">
        <w:rPr>
          <w:rFonts w:ascii="Tw Cen MT" w:hAnsi="Tw Cen MT"/>
        </w:rPr>
        <w:t xml:space="preserve">, W. J. </w:t>
      </w:r>
      <w:r w:rsidRPr="00D535CF">
        <w:rPr>
          <w:rFonts w:ascii="Tw Cen MT" w:hAnsi="Tw Cen MT"/>
          <w:i/>
          <w:iCs/>
        </w:rPr>
        <w:t xml:space="preserve">Teaching Tips. </w:t>
      </w:r>
      <w:r w:rsidRPr="00D535CF">
        <w:rPr>
          <w:rFonts w:ascii="Tw Cen MT" w:hAnsi="Tw Cen MT"/>
        </w:rPr>
        <w:t xml:space="preserve">(12th </w:t>
      </w:r>
      <w:proofErr w:type="gramStart"/>
      <w:r w:rsidRPr="00D535CF">
        <w:rPr>
          <w:rFonts w:ascii="Tw Cen MT" w:hAnsi="Tw Cen MT"/>
        </w:rPr>
        <w:t>ed</w:t>
      </w:r>
      <w:proofErr w:type="gramEnd"/>
      <w:r w:rsidRPr="00D535CF">
        <w:rPr>
          <w:rFonts w:ascii="Tw Cen MT" w:hAnsi="Tw Cen MT"/>
        </w:rPr>
        <w:t xml:space="preserve">.) Lexington, Mass.: Heath, 2006. </w:t>
      </w:r>
    </w:p>
    <w:p w:rsidR="003A174F" w:rsidRDefault="003A174F">
      <w:pPr>
        <w:rPr>
          <w:rFonts w:ascii="Tw Cen MT" w:hAnsi="Tw Cen MT"/>
        </w:rPr>
      </w:pPr>
      <w:r>
        <w:rPr>
          <w:rFonts w:ascii="Tw Cen MT" w:hAnsi="Tw Cen MT"/>
        </w:rPr>
        <w:br w:type="page"/>
      </w:r>
    </w:p>
    <w:p w:rsidR="0016410A" w:rsidRDefault="003A174F" w:rsidP="003A174F">
      <w:pPr>
        <w:jc w:val="center"/>
        <w:rPr>
          <w:rFonts w:ascii="Tw Cen MT" w:hAnsi="Tw Cen MT"/>
          <w:sz w:val="28"/>
        </w:rPr>
      </w:pPr>
      <w:r>
        <w:rPr>
          <w:rFonts w:ascii="Tw Cen MT" w:hAnsi="Tw Cen MT"/>
          <w:b/>
          <w:sz w:val="28"/>
        </w:rPr>
        <w:lastRenderedPageBreak/>
        <w:t>Putting it into Practice…</w:t>
      </w:r>
    </w:p>
    <w:p w:rsidR="003A174F" w:rsidRDefault="003A174F" w:rsidP="003A174F">
      <w:pPr>
        <w:rPr>
          <w:rFonts w:ascii="Tw Cen MT" w:hAnsi="Tw Cen MT"/>
        </w:rPr>
      </w:pPr>
    </w:p>
    <w:p w:rsidR="003A174F" w:rsidRDefault="003A174F" w:rsidP="003A174F">
      <w:pPr>
        <w:rPr>
          <w:rFonts w:ascii="Tw Cen MT" w:hAnsi="Tw Cen MT"/>
        </w:rPr>
      </w:pPr>
      <w:r>
        <w:rPr>
          <w:rFonts w:ascii="Tw Cen MT" w:hAnsi="Tw Cen MT"/>
        </w:rPr>
        <w:t>Indentify the goal of your course (or course segment): What do I want them to remember 5 years down the road?  What is essential?</w:t>
      </w:r>
    </w:p>
    <w:p w:rsidR="003A174F" w:rsidRDefault="003A174F" w:rsidP="003A174F">
      <w:pPr>
        <w:rPr>
          <w:rFonts w:ascii="Tw Cen MT" w:hAnsi="Tw Cen MT"/>
        </w:rPr>
      </w:pPr>
    </w:p>
    <w:p w:rsidR="003A174F" w:rsidRDefault="003A174F" w:rsidP="003A174F">
      <w:pPr>
        <w:rPr>
          <w:rFonts w:ascii="Tw Cen MT" w:hAnsi="Tw Cen MT"/>
        </w:rPr>
      </w:pPr>
    </w:p>
    <w:p w:rsidR="003A174F" w:rsidRDefault="003A174F" w:rsidP="003A174F">
      <w:pPr>
        <w:rPr>
          <w:rFonts w:ascii="Tw Cen MT" w:hAnsi="Tw Cen MT"/>
        </w:rPr>
      </w:pPr>
    </w:p>
    <w:p w:rsidR="00DF560A" w:rsidRDefault="00DF560A" w:rsidP="003A174F">
      <w:pPr>
        <w:rPr>
          <w:rFonts w:ascii="Tw Cen MT" w:hAnsi="Tw Cen MT"/>
        </w:rPr>
      </w:pPr>
    </w:p>
    <w:p w:rsidR="00DF560A" w:rsidRDefault="00DF560A" w:rsidP="003A174F">
      <w:pPr>
        <w:rPr>
          <w:rFonts w:ascii="Tw Cen MT" w:hAnsi="Tw Cen MT"/>
        </w:rPr>
      </w:pPr>
    </w:p>
    <w:p w:rsidR="00D357A7" w:rsidRDefault="00D357A7" w:rsidP="00D357A7">
      <w:pPr>
        <w:rPr>
          <w:rFonts w:ascii="Tw Cen MT" w:hAnsi="Tw Cen MT"/>
        </w:rPr>
      </w:pPr>
    </w:p>
    <w:p w:rsidR="00D357A7" w:rsidRDefault="00D357A7" w:rsidP="00D357A7">
      <w:pPr>
        <w:rPr>
          <w:rFonts w:ascii="Tw Cen MT" w:hAnsi="Tw Cen MT"/>
        </w:rPr>
      </w:pPr>
      <w:r>
        <w:rPr>
          <w:rFonts w:ascii="Tw Cen MT" w:hAnsi="Tw Cen MT"/>
        </w:rPr>
        <w:t>What are the consequences of being in the world without a proper understanding of ________?</w:t>
      </w:r>
    </w:p>
    <w:p w:rsidR="003A174F" w:rsidRDefault="003A174F" w:rsidP="003A174F">
      <w:pPr>
        <w:rPr>
          <w:rFonts w:ascii="Tw Cen MT" w:hAnsi="Tw Cen MT"/>
        </w:rPr>
      </w:pPr>
    </w:p>
    <w:p w:rsidR="00D357A7" w:rsidRDefault="00D357A7" w:rsidP="003A174F">
      <w:pPr>
        <w:rPr>
          <w:rFonts w:ascii="Tw Cen MT" w:hAnsi="Tw Cen MT"/>
        </w:rPr>
      </w:pPr>
    </w:p>
    <w:p w:rsidR="00D357A7" w:rsidRDefault="00D357A7" w:rsidP="003A174F">
      <w:pPr>
        <w:rPr>
          <w:rFonts w:ascii="Tw Cen MT" w:hAnsi="Tw Cen MT"/>
        </w:rPr>
      </w:pPr>
    </w:p>
    <w:p w:rsidR="00D357A7" w:rsidRDefault="00D357A7" w:rsidP="003A174F">
      <w:pPr>
        <w:rPr>
          <w:rFonts w:ascii="Tw Cen MT" w:hAnsi="Tw Cen MT"/>
        </w:rPr>
      </w:pPr>
    </w:p>
    <w:p w:rsidR="00DF560A" w:rsidRDefault="00DF560A" w:rsidP="003A174F">
      <w:pPr>
        <w:rPr>
          <w:rFonts w:ascii="Tw Cen MT" w:hAnsi="Tw Cen MT"/>
        </w:rPr>
      </w:pPr>
    </w:p>
    <w:p w:rsidR="00D357A7" w:rsidRDefault="00D357A7" w:rsidP="003A174F">
      <w:pPr>
        <w:rPr>
          <w:rFonts w:ascii="Tw Cen MT" w:hAnsi="Tw Cen MT"/>
        </w:rPr>
      </w:pPr>
    </w:p>
    <w:p w:rsidR="00D357A7" w:rsidRDefault="00D357A7" w:rsidP="003A174F">
      <w:pPr>
        <w:rPr>
          <w:rFonts w:ascii="Tw Cen MT" w:hAnsi="Tw Cen MT"/>
        </w:rPr>
      </w:pPr>
    </w:p>
    <w:p w:rsidR="003A174F" w:rsidRDefault="003A174F" w:rsidP="003A174F">
      <w:pPr>
        <w:rPr>
          <w:rFonts w:ascii="Tw Cen MT" w:hAnsi="Tw Cen MT"/>
        </w:rPr>
      </w:pPr>
      <w:r>
        <w:rPr>
          <w:rFonts w:ascii="Tw Cen MT" w:hAnsi="Tw Cen MT"/>
        </w:rPr>
        <w:t xml:space="preserve">How can I identify my student’s concerns? How can I connect material to their life in </w:t>
      </w:r>
      <w:r w:rsidR="00DF560A">
        <w:rPr>
          <w:rFonts w:ascii="Tw Cen MT" w:hAnsi="Tw Cen MT"/>
        </w:rPr>
        <w:t xml:space="preserve">a </w:t>
      </w:r>
      <w:r>
        <w:rPr>
          <w:rFonts w:ascii="Tw Cen MT" w:hAnsi="Tw Cen MT"/>
        </w:rPr>
        <w:t>meaningful &amp; authentic way?</w:t>
      </w:r>
      <w:r w:rsidR="00D357A7">
        <w:rPr>
          <w:rFonts w:ascii="Tw Cen MT" w:hAnsi="Tw Cen MT"/>
        </w:rPr>
        <w:t xml:space="preserve"> </w:t>
      </w:r>
    </w:p>
    <w:p w:rsidR="00D357A7" w:rsidRDefault="00D357A7" w:rsidP="003A174F">
      <w:pPr>
        <w:rPr>
          <w:rFonts w:ascii="Tw Cen MT" w:hAnsi="Tw Cen MT"/>
        </w:rPr>
      </w:pPr>
    </w:p>
    <w:p w:rsidR="00D357A7" w:rsidRDefault="00D357A7" w:rsidP="003A174F">
      <w:pPr>
        <w:rPr>
          <w:rFonts w:ascii="Tw Cen MT" w:hAnsi="Tw Cen MT"/>
        </w:rPr>
      </w:pPr>
    </w:p>
    <w:p w:rsidR="00D357A7" w:rsidRDefault="00D357A7" w:rsidP="003A174F">
      <w:pPr>
        <w:rPr>
          <w:rFonts w:ascii="Tw Cen MT" w:hAnsi="Tw Cen MT"/>
        </w:rPr>
      </w:pPr>
    </w:p>
    <w:p w:rsidR="00DF560A" w:rsidRDefault="00DF560A" w:rsidP="003A174F">
      <w:pPr>
        <w:rPr>
          <w:rFonts w:ascii="Tw Cen MT" w:hAnsi="Tw Cen MT"/>
        </w:rPr>
      </w:pPr>
    </w:p>
    <w:p w:rsidR="00DF560A" w:rsidRDefault="00DF560A" w:rsidP="003A174F">
      <w:pPr>
        <w:rPr>
          <w:rFonts w:ascii="Tw Cen MT" w:hAnsi="Tw Cen MT"/>
        </w:rPr>
      </w:pPr>
    </w:p>
    <w:p w:rsidR="00D357A7" w:rsidRDefault="00D357A7" w:rsidP="00D357A7">
      <w:pPr>
        <w:rPr>
          <w:rFonts w:ascii="Tw Cen MT" w:hAnsi="Tw Cen MT"/>
        </w:rPr>
      </w:pPr>
    </w:p>
    <w:p w:rsidR="00D357A7" w:rsidRDefault="00D357A7" w:rsidP="00D357A7">
      <w:pPr>
        <w:rPr>
          <w:rFonts w:ascii="Tw Cen MT" w:hAnsi="Tw Cen MT"/>
        </w:rPr>
      </w:pPr>
    </w:p>
    <w:p w:rsidR="00D357A7" w:rsidRDefault="00D357A7" w:rsidP="00D357A7">
      <w:pPr>
        <w:rPr>
          <w:rFonts w:ascii="Tw Cen MT" w:hAnsi="Tw Cen MT"/>
        </w:rPr>
      </w:pPr>
      <w:r>
        <w:rPr>
          <w:rFonts w:ascii="Tw Cen MT" w:hAnsi="Tw Cen MT"/>
        </w:rPr>
        <w:t xml:space="preserve">Can I relate this to their lived experience through the use of authentic audience or community-based learning?  </w:t>
      </w:r>
      <w:proofErr w:type="gramStart"/>
      <w:r>
        <w:rPr>
          <w:rFonts w:ascii="Tw Cen MT" w:hAnsi="Tw Cen MT"/>
        </w:rPr>
        <w:t>If so, how?</w:t>
      </w:r>
      <w:proofErr w:type="gramEnd"/>
      <w:r>
        <w:rPr>
          <w:rFonts w:ascii="Tw Cen MT" w:hAnsi="Tw Cen MT"/>
        </w:rPr>
        <w:t xml:space="preserve"> </w:t>
      </w:r>
    </w:p>
    <w:p w:rsidR="003A174F" w:rsidRDefault="003A174F" w:rsidP="003A174F">
      <w:pPr>
        <w:rPr>
          <w:rFonts w:ascii="Tw Cen MT" w:hAnsi="Tw Cen MT"/>
        </w:rPr>
      </w:pPr>
    </w:p>
    <w:p w:rsidR="00D357A7" w:rsidRDefault="00D357A7" w:rsidP="003A174F">
      <w:pPr>
        <w:rPr>
          <w:rFonts w:ascii="Tw Cen MT" w:hAnsi="Tw Cen MT"/>
        </w:rPr>
      </w:pPr>
    </w:p>
    <w:p w:rsidR="003A174F" w:rsidRDefault="003A174F" w:rsidP="003A174F">
      <w:pPr>
        <w:rPr>
          <w:rFonts w:ascii="Tw Cen MT" w:hAnsi="Tw Cen MT"/>
        </w:rPr>
      </w:pPr>
    </w:p>
    <w:p w:rsidR="003A174F" w:rsidRDefault="003A174F" w:rsidP="003A174F">
      <w:pPr>
        <w:rPr>
          <w:rFonts w:ascii="Tw Cen MT" w:hAnsi="Tw Cen MT"/>
        </w:rPr>
      </w:pPr>
    </w:p>
    <w:p w:rsidR="003A174F" w:rsidRPr="003A174F" w:rsidRDefault="003A174F" w:rsidP="003A174F">
      <w:pPr>
        <w:rPr>
          <w:rFonts w:ascii="Tw Cen MT" w:hAnsi="Tw Cen MT"/>
        </w:rPr>
      </w:pPr>
    </w:p>
    <w:sectPr w:rsidR="003A174F" w:rsidRPr="003A174F" w:rsidSect="00F627FB">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B5" w:rsidRDefault="001369B5" w:rsidP="00B35081">
      <w:r>
        <w:separator/>
      </w:r>
    </w:p>
  </w:endnote>
  <w:endnote w:type="continuationSeparator" w:id="0">
    <w:p w:rsidR="001369B5" w:rsidRDefault="001369B5" w:rsidP="00B3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4F" w:rsidRDefault="003A174F">
    <w:pPr>
      <w:pStyle w:val="Footer"/>
    </w:pPr>
    <w:r w:rsidRPr="00354B42">
      <w:rPr>
        <w:noProof/>
      </w:rPr>
      <w:drawing>
        <wp:inline distT="0" distB="0" distL="0" distR="0">
          <wp:extent cx="5780314" cy="521666"/>
          <wp:effectExtent l="0" t="0" r="0" b="0"/>
          <wp:docPr id="2" name="Picture 1" descr="http://cft.vanderbilt.edu/files/CFT-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files/CFT-2010.png"/>
                  <pic:cNvPicPr>
                    <a:picLocks noChangeAspect="1" noChangeArrowheads="1"/>
                  </pic:cNvPicPr>
                </pic:nvPicPr>
                <pic:blipFill>
                  <a:blip r:embed="rId1">
                    <a:lum bright="-51000"/>
                  </a:blip>
                  <a:srcRect/>
                  <a:stretch>
                    <a:fillRect/>
                  </a:stretch>
                </pic:blipFill>
                <pic:spPr bwMode="auto">
                  <a:xfrm>
                    <a:off x="0" y="0"/>
                    <a:ext cx="5781690" cy="5217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B5" w:rsidRDefault="001369B5" w:rsidP="00B35081">
      <w:r>
        <w:separator/>
      </w:r>
    </w:p>
  </w:footnote>
  <w:footnote w:type="continuationSeparator" w:id="0">
    <w:p w:rsidR="001369B5" w:rsidRDefault="001369B5" w:rsidP="00B35081">
      <w:r>
        <w:continuationSeparator/>
      </w:r>
    </w:p>
  </w:footnote>
  <w:footnote w:id="1">
    <w:p w:rsidR="003A174F" w:rsidRPr="00DB4A10" w:rsidRDefault="003A174F">
      <w:pPr>
        <w:pStyle w:val="FootnoteText"/>
        <w:rPr>
          <w:rFonts w:ascii="Tw Cen MT" w:hAnsi="Tw Cen MT"/>
          <w:sz w:val="22"/>
          <w:szCs w:val="22"/>
        </w:rPr>
      </w:pPr>
      <w:r w:rsidRPr="00DB4A10">
        <w:rPr>
          <w:rStyle w:val="FootnoteReference"/>
          <w:rFonts w:ascii="Tw Cen MT" w:hAnsi="Tw Cen MT"/>
          <w:sz w:val="22"/>
          <w:szCs w:val="22"/>
        </w:rPr>
        <w:footnoteRef/>
      </w:r>
      <w:r w:rsidRPr="00DB4A10">
        <w:rPr>
          <w:rFonts w:ascii="Tw Cen MT" w:hAnsi="Tw Cen MT"/>
          <w:sz w:val="22"/>
          <w:szCs w:val="22"/>
        </w:rPr>
        <w:t xml:space="preserve"> </w:t>
      </w:r>
      <w:hyperlink r:id="rId1" w:history="1">
        <w:r w:rsidRPr="00DB4A10">
          <w:rPr>
            <w:rStyle w:val="Hyperlink"/>
            <w:rFonts w:ascii="Tw Cen MT" w:hAnsi="Tw Cen MT"/>
            <w:sz w:val="22"/>
            <w:szCs w:val="22"/>
          </w:rPr>
          <w:t>http://serc.carleton.edu/NAGTWorkshops/affective/motivation.html</w:t>
        </w:r>
      </w:hyperlink>
      <w:r w:rsidRPr="00DB4A10">
        <w:rPr>
          <w:rFonts w:ascii="Tw Cen MT" w:hAnsi="Tw Cen MT"/>
          <w:sz w:val="22"/>
          <w:szCs w:val="22"/>
        </w:rPr>
        <w:t xml:space="preserve"> </w:t>
      </w:r>
    </w:p>
  </w:footnote>
  <w:footnote w:id="2">
    <w:p w:rsidR="003A174F" w:rsidRPr="00DB4A10" w:rsidRDefault="003A174F">
      <w:pPr>
        <w:pStyle w:val="FootnoteText"/>
        <w:rPr>
          <w:rFonts w:ascii="Tw Cen MT" w:hAnsi="Tw Cen MT"/>
          <w:sz w:val="22"/>
          <w:szCs w:val="22"/>
        </w:rPr>
      </w:pPr>
      <w:r w:rsidRPr="00DB4A10">
        <w:rPr>
          <w:rStyle w:val="FootnoteReference"/>
          <w:rFonts w:ascii="Tw Cen MT" w:hAnsi="Tw Cen MT"/>
          <w:sz w:val="22"/>
          <w:szCs w:val="22"/>
        </w:rPr>
        <w:footnoteRef/>
      </w:r>
      <w:r w:rsidRPr="00DB4A10">
        <w:rPr>
          <w:rFonts w:ascii="Tw Cen MT" w:hAnsi="Tw Cen MT"/>
          <w:sz w:val="22"/>
          <w:szCs w:val="22"/>
        </w:rPr>
        <w:t xml:space="preserve"> </w:t>
      </w:r>
      <w:r w:rsidRPr="00DB4A10">
        <w:rPr>
          <w:rFonts w:ascii="Tw Cen MT" w:hAnsi="Tw Cen MT"/>
          <w:color w:val="333333"/>
          <w:sz w:val="22"/>
          <w:szCs w:val="22"/>
        </w:rPr>
        <w:t>Randy Bass and Heidi Elmendorf</w:t>
      </w:r>
    </w:p>
  </w:footnote>
  <w:footnote w:id="3">
    <w:p w:rsidR="003A174F" w:rsidRPr="00DB4A10" w:rsidRDefault="003A174F">
      <w:pPr>
        <w:pStyle w:val="FootnoteText"/>
        <w:rPr>
          <w:rFonts w:ascii="Tw Cen MT" w:hAnsi="Tw Cen MT"/>
          <w:sz w:val="22"/>
          <w:szCs w:val="22"/>
        </w:rPr>
      </w:pPr>
      <w:r w:rsidRPr="00DB4A10">
        <w:rPr>
          <w:rStyle w:val="FootnoteReference"/>
          <w:rFonts w:ascii="Tw Cen MT" w:hAnsi="Tw Cen MT"/>
          <w:sz w:val="22"/>
          <w:szCs w:val="22"/>
        </w:rPr>
        <w:footnoteRef/>
      </w:r>
      <w:r w:rsidRPr="00DB4A10">
        <w:rPr>
          <w:rFonts w:ascii="Tw Cen MT" w:hAnsi="Tw Cen MT"/>
          <w:sz w:val="22"/>
          <w:szCs w:val="22"/>
        </w:rPr>
        <w:t xml:space="preserve"> Designing for Difficulty: Social Pedagogies as a Framework for Course Design by Randy Bass and Heidi Elmendorf (</w:t>
      </w:r>
      <w:hyperlink r:id="rId2" w:history="1">
        <w:r w:rsidRPr="00DB4A10">
          <w:rPr>
            <w:rStyle w:val="Hyperlink"/>
            <w:rFonts w:ascii="Tw Cen MT" w:hAnsi="Tw Cen MT"/>
            <w:sz w:val="22"/>
            <w:szCs w:val="22"/>
          </w:rPr>
          <w:t>https://blogs.commons.georgetown.edu/bassr/social-pedagogies/</w:t>
        </w:r>
      </w:hyperlink>
      <w:r w:rsidRPr="00DB4A10">
        <w:rPr>
          <w:rFonts w:ascii="Tw Cen MT" w:hAnsi="Tw Cen MT"/>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61153183"/>
      <w:docPartObj>
        <w:docPartGallery w:val="Page Numbers (Top of Page)"/>
        <w:docPartUnique/>
      </w:docPartObj>
    </w:sdtPr>
    <w:sdtEndPr>
      <w:rPr>
        <w:b/>
        <w:bCs/>
        <w:noProof/>
        <w:color w:val="auto"/>
        <w:spacing w:val="0"/>
      </w:rPr>
    </w:sdtEndPr>
    <w:sdtContent>
      <w:p w:rsidR="003A174F" w:rsidRDefault="003A174F" w:rsidP="00354B42">
        <w:pPr>
          <w:pStyle w:val="Header"/>
          <w:pBdr>
            <w:bottom w:val="single" w:sz="4" w:space="1" w:color="D9D9D9" w:themeColor="background1" w:themeShade="D9"/>
          </w:pBdr>
          <w:jc w:val="right"/>
          <w:rPr>
            <w:b/>
            <w:bCs/>
          </w:rPr>
        </w:pPr>
        <w:r>
          <w:rPr>
            <w:color w:val="808080" w:themeColor="background1" w:themeShade="80"/>
            <w:spacing w:val="60"/>
          </w:rPr>
          <w:t xml:space="preserve">Life GPA: Teaching Beyond the Grade </w:t>
        </w:r>
        <w:r>
          <w:rPr>
            <w:color w:val="808080" w:themeColor="background1" w:themeShade="80"/>
            <w:spacing w:val="60"/>
          </w:rPr>
          <w:tab/>
          <w:t>Page</w:t>
        </w:r>
        <w:r>
          <w:t xml:space="preserve"> | </w:t>
        </w:r>
        <w:r>
          <w:fldChar w:fldCharType="begin"/>
        </w:r>
        <w:r>
          <w:instrText xml:space="preserve"> PAGE   \* MERGEFORMAT </w:instrText>
        </w:r>
        <w:r>
          <w:fldChar w:fldCharType="separate"/>
        </w:r>
        <w:r w:rsidR="00513C19" w:rsidRPr="00513C19">
          <w:rPr>
            <w:b/>
            <w:bCs/>
            <w:noProof/>
          </w:rPr>
          <w:t>4</w:t>
        </w:r>
        <w:r>
          <w:rPr>
            <w:b/>
            <w:bCs/>
            <w:noProof/>
          </w:rPr>
          <w:fldChar w:fldCharType="end"/>
        </w:r>
      </w:p>
    </w:sdtContent>
  </w:sdt>
  <w:p w:rsidR="003A174F" w:rsidRPr="00354B42" w:rsidRDefault="003A174F" w:rsidP="0035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77"/>
    <w:multiLevelType w:val="hybridMultilevel"/>
    <w:tmpl w:val="40EAB3D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DBA3E60"/>
    <w:multiLevelType w:val="multilevel"/>
    <w:tmpl w:val="3B9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8742A"/>
    <w:multiLevelType w:val="multilevel"/>
    <w:tmpl w:val="985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87468"/>
    <w:multiLevelType w:val="multilevel"/>
    <w:tmpl w:val="10FC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A2218"/>
    <w:multiLevelType w:val="multilevel"/>
    <w:tmpl w:val="5D16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EC0A96"/>
    <w:multiLevelType w:val="multilevel"/>
    <w:tmpl w:val="9F5C3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C4CBE"/>
    <w:multiLevelType w:val="hybridMultilevel"/>
    <w:tmpl w:val="5244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F26F8"/>
    <w:multiLevelType w:val="multilevel"/>
    <w:tmpl w:val="69A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D03478"/>
    <w:multiLevelType w:val="hybridMultilevel"/>
    <w:tmpl w:val="3E1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16938"/>
    <w:multiLevelType w:val="multilevel"/>
    <w:tmpl w:val="CE9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0729D6"/>
    <w:multiLevelType w:val="hybridMultilevel"/>
    <w:tmpl w:val="61A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26910"/>
    <w:multiLevelType w:val="multilevel"/>
    <w:tmpl w:val="A8A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3574C5"/>
    <w:multiLevelType w:val="multilevel"/>
    <w:tmpl w:val="15DAB226"/>
    <w:styleLink w:val="Style1"/>
    <w:lvl w:ilvl="0">
      <w:start w:val="1"/>
      <w:numFmt w:val="decimal"/>
      <w:lvlText w:val="%1."/>
      <w:lvlJc w:val="left"/>
      <w:pPr>
        <w:ind w:left="360" w:hanging="360"/>
      </w:pPr>
      <w:rPr>
        <w:rFonts w:ascii="Times New Roman" w:hAnsi="Times New Roman" w:hint="default"/>
        <w:b w:val="0"/>
        <w:i w:val="0"/>
        <w:sz w:val="24"/>
      </w:rPr>
    </w:lvl>
    <w:lvl w:ilvl="1">
      <w:start w:val="1"/>
      <w:numFmt w:val="none"/>
      <w:lvlRestart w:val="0"/>
      <w:lvlText w:val="1."/>
      <w:lvlJc w:val="left"/>
      <w:pPr>
        <w:ind w:left="720" w:hanging="360"/>
      </w:pPr>
      <w:rPr>
        <w:rFonts w:ascii="Times New Roman" w:hAnsi="Times New Roman" w:hint="default"/>
        <w:b w:val="0"/>
        <w:i w:val="0"/>
        <w:sz w:val="24"/>
      </w:rPr>
    </w:lvl>
    <w:lvl w:ilvl="2">
      <w:start w:val="1"/>
      <w:numFmt w:val="decimal"/>
      <w:lvlRestart w:val="0"/>
      <w:lvlText w:val="%3."/>
      <w:lvlJc w:val="left"/>
      <w:pPr>
        <w:ind w:left="1080" w:hanging="360"/>
      </w:pPr>
      <w:rPr>
        <w:rFonts w:ascii="Times New Roman" w:hAnsi="Times New Roman" w:hint="default"/>
        <w:b w:val="0"/>
        <w:i w:val="0"/>
        <w:sz w:val="24"/>
      </w:rPr>
    </w:lvl>
    <w:lvl w:ilvl="3">
      <w:start w:val="1"/>
      <w:numFmt w:val="none"/>
      <w:lvlRestart w:val="0"/>
      <w:lvlText w:val="1."/>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077486F"/>
    <w:multiLevelType w:val="hybridMultilevel"/>
    <w:tmpl w:val="CBD06598"/>
    <w:lvl w:ilvl="0" w:tplc="04560001">
      <w:start w:val="1"/>
      <w:numFmt w:val="bullet"/>
      <w:lvlText w:val=""/>
      <w:lvlJc w:val="left"/>
      <w:pPr>
        <w:tabs>
          <w:tab w:val="num" w:pos="720"/>
        </w:tabs>
        <w:ind w:left="720" w:hanging="360"/>
      </w:pPr>
      <w:rPr>
        <w:rFonts w:ascii="Symbol" w:hAnsi="Symbol" w:hint="default"/>
      </w:rPr>
    </w:lvl>
    <w:lvl w:ilvl="1" w:tplc="04560003">
      <w:start w:val="1"/>
      <w:numFmt w:val="bullet"/>
      <w:lvlText w:val="o"/>
      <w:lvlJc w:val="left"/>
      <w:pPr>
        <w:tabs>
          <w:tab w:val="num" w:pos="1440"/>
        </w:tabs>
        <w:ind w:left="1440" w:hanging="360"/>
      </w:pPr>
      <w:rPr>
        <w:rFonts w:ascii="Courier New" w:hAnsi="Courier New" w:cs="Courier New" w:hint="default"/>
      </w:rPr>
    </w:lvl>
    <w:lvl w:ilvl="2" w:tplc="04560005" w:tentative="1">
      <w:start w:val="1"/>
      <w:numFmt w:val="bullet"/>
      <w:lvlText w:val=""/>
      <w:lvlJc w:val="left"/>
      <w:pPr>
        <w:tabs>
          <w:tab w:val="num" w:pos="2160"/>
        </w:tabs>
        <w:ind w:left="2160" w:hanging="360"/>
      </w:pPr>
      <w:rPr>
        <w:rFonts w:ascii="Wingdings" w:hAnsi="Wingdings" w:hint="default"/>
      </w:rPr>
    </w:lvl>
    <w:lvl w:ilvl="3" w:tplc="04560001" w:tentative="1">
      <w:start w:val="1"/>
      <w:numFmt w:val="bullet"/>
      <w:lvlText w:val=""/>
      <w:lvlJc w:val="left"/>
      <w:pPr>
        <w:tabs>
          <w:tab w:val="num" w:pos="2880"/>
        </w:tabs>
        <w:ind w:left="2880" w:hanging="360"/>
      </w:pPr>
      <w:rPr>
        <w:rFonts w:ascii="Symbol" w:hAnsi="Symbol" w:hint="default"/>
      </w:rPr>
    </w:lvl>
    <w:lvl w:ilvl="4" w:tplc="04560003" w:tentative="1">
      <w:start w:val="1"/>
      <w:numFmt w:val="bullet"/>
      <w:lvlText w:val="o"/>
      <w:lvlJc w:val="left"/>
      <w:pPr>
        <w:tabs>
          <w:tab w:val="num" w:pos="3600"/>
        </w:tabs>
        <w:ind w:left="3600" w:hanging="360"/>
      </w:pPr>
      <w:rPr>
        <w:rFonts w:ascii="Courier New" w:hAnsi="Courier New" w:cs="Courier New" w:hint="default"/>
      </w:rPr>
    </w:lvl>
    <w:lvl w:ilvl="5" w:tplc="04560005" w:tentative="1">
      <w:start w:val="1"/>
      <w:numFmt w:val="bullet"/>
      <w:lvlText w:val=""/>
      <w:lvlJc w:val="left"/>
      <w:pPr>
        <w:tabs>
          <w:tab w:val="num" w:pos="4320"/>
        </w:tabs>
        <w:ind w:left="4320" w:hanging="360"/>
      </w:pPr>
      <w:rPr>
        <w:rFonts w:ascii="Wingdings" w:hAnsi="Wingdings" w:hint="default"/>
      </w:rPr>
    </w:lvl>
    <w:lvl w:ilvl="6" w:tplc="04560001" w:tentative="1">
      <w:start w:val="1"/>
      <w:numFmt w:val="bullet"/>
      <w:lvlText w:val=""/>
      <w:lvlJc w:val="left"/>
      <w:pPr>
        <w:tabs>
          <w:tab w:val="num" w:pos="5040"/>
        </w:tabs>
        <w:ind w:left="5040" w:hanging="360"/>
      </w:pPr>
      <w:rPr>
        <w:rFonts w:ascii="Symbol" w:hAnsi="Symbol" w:hint="default"/>
      </w:rPr>
    </w:lvl>
    <w:lvl w:ilvl="7" w:tplc="04560003" w:tentative="1">
      <w:start w:val="1"/>
      <w:numFmt w:val="bullet"/>
      <w:lvlText w:val="o"/>
      <w:lvlJc w:val="left"/>
      <w:pPr>
        <w:tabs>
          <w:tab w:val="num" w:pos="5760"/>
        </w:tabs>
        <w:ind w:left="5760" w:hanging="360"/>
      </w:pPr>
      <w:rPr>
        <w:rFonts w:ascii="Courier New" w:hAnsi="Courier New" w:cs="Courier New" w:hint="default"/>
      </w:rPr>
    </w:lvl>
    <w:lvl w:ilvl="8" w:tplc="045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11"/>
  </w:num>
  <w:num w:numId="6">
    <w:abstractNumId w:val="4"/>
  </w:num>
  <w:num w:numId="7">
    <w:abstractNumId w:val="9"/>
  </w:num>
  <w:num w:numId="8">
    <w:abstractNumId w:val="1"/>
  </w:num>
  <w:num w:numId="9">
    <w:abstractNumId w:val="7"/>
  </w:num>
  <w:num w:numId="10">
    <w:abstractNumId w:val="13"/>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1"/>
    <w:rsid w:val="000169A0"/>
    <w:rsid w:val="00090D36"/>
    <w:rsid w:val="00105E99"/>
    <w:rsid w:val="00111745"/>
    <w:rsid w:val="001369B5"/>
    <w:rsid w:val="0016410A"/>
    <w:rsid w:val="00164D8E"/>
    <w:rsid w:val="001B06C4"/>
    <w:rsid w:val="001F23BC"/>
    <w:rsid w:val="002F7938"/>
    <w:rsid w:val="00303BD2"/>
    <w:rsid w:val="003138FF"/>
    <w:rsid w:val="00354B42"/>
    <w:rsid w:val="00355427"/>
    <w:rsid w:val="0037729E"/>
    <w:rsid w:val="003A174F"/>
    <w:rsid w:val="003A6515"/>
    <w:rsid w:val="003C4F19"/>
    <w:rsid w:val="003F3DBD"/>
    <w:rsid w:val="00477CA9"/>
    <w:rsid w:val="00513C19"/>
    <w:rsid w:val="00564217"/>
    <w:rsid w:val="005E643B"/>
    <w:rsid w:val="00615EFA"/>
    <w:rsid w:val="006A04B5"/>
    <w:rsid w:val="006B2C31"/>
    <w:rsid w:val="00767206"/>
    <w:rsid w:val="007A30A7"/>
    <w:rsid w:val="007A5B4E"/>
    <w:rsid w:val="008003F4"/>
    <w:rsid w:val="008B596C"/>
    <w:rsid w:val="008E293F"/>
    <w:rsid w:val="009E4A01"/>
    <w:rsid w:val="00A42A0F"/>
    <w:rsid w:val="00AF4C4C"/>
    <w:rsid w:val="00B35081"/>
    <w:rsid w:val="00B447D6"/>
    <w:rsid w:val="00B66345"/>
    <w:rsid w:val="00B6674D"/>
    <w:rsid w:val="00BB2FE7"/>
    <w:rsid w:val="00C0044F"/>
    <w:rsid w:val="00C24D39"/>
    <w:rsid w:val="00CD02A3"/>
    <w:rsid w:val="00CE6B62"/>
    <w:rsid w:val="00D357A7"/>
    <w:rsid w:val="00D535CF"/>
    <w:rsid w:val="00D53EFE"/>
    <w:rsid w:val="00D62DCF"/>
    <w:rsid w:val="00D74820"/>
    <w:rsid w:val="00DB1A7E"/>
    <w:rsid w:val="00DB4A10"/>
    <w:rsid w:val="00DC4A38"/>
    <w:rsid w:val="00DF560A"/>
    <w:rsid w:val="00E7607C"/>
    <w:rsid w:val="00EA2C33"/>
    <w:rsid w:val="00EC11E2"/>
    <w:rsid w:val="00EC177B"/>
    <w:rsid w:val="00F627FB"/>
    <w:rsid w:val="00FE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B"/>
  </w:style>
  <w:style w:type="paragraph" w:styleId="Heading2">
    <w:name w:val="heading 2"/>
    <w:basedOn w:val="Normal"/>
    <w:next w:val="Normal"/>
    <w:link w:val="Heading2Char"/>
    <w:uiPriority w:val="9"/>
    <w:semiHidden/>
    <w:unhideWhenUsed/>
    <w:qFormat/>
    <w:rsid w:val="00C00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35081"/>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42A0F"/>
    <w:pPr>
      <w:numPr>
        <w:numId w:val="1"/>
      </w:numPr>
    </w:pPr>
  </w:style>
  <w:style w:type="paragraph" w:styleId="ListParagraph">
    <w:name w:val="List Paragraph"/>
    <w:basedOn w:val="Normal"/>
    <w:uiPriority w:val="34"/>
    <w:qFormat/>
    <w:rsid w:val="00B35081"/>
    <w:pPr>
      <w:ind w:left="720"/>
      <w:contextualSpacing/>
    </w:pPr>
  </w:style>
  <w:style w:type="character" w:customStyle="1" w:styleId="Heading4Char">
    <w:name w:val="Heading 4 Char"/>
    <w:basedOn w:val="DefaultParagraphFont"/>
    <w:link w:val="Heading4"/>
    <w:uiPriority w:val="9"/>
    <w:rsid w:val="00B35081"/>
    <w:rPr>
      <w:rFonts w:ascii="Times New Roman" w:eastAsia="Times New Roman" w:hAnsi="Times New Roman"/>
      <w:b/>
      <w:bCs/>
    </w:rPr>
  </w:style>
  <w:style w:type="character" w:styleId="Hyperlink">
    <w:name w:val="Hyperlink"/>
    <w:basedOn w:val="DefaultParagraphFont"/>
    <w:unhideWhenUsed/>
    <w:rsid w:val="00B35081"/>
    <w:rPr>
      <w:color w:val="0000FF"/>
      <w:u w:val="single"/>
    </w:rPr>
  </w:style>
  <w:style w:type="character" w:customStyle="1" w:styleId="apple-converted-space">
    <w:name w:val="apple-converted-space"/>
    <w:basedOn w:val="DefaultParagraphFont"/>
    <w:rsid w:val="00B35081"/>
  </w:style>
  <w:style w:type="character" w:customStyle="1" w:styleId="small">
    <w:name w:val="small"/>
    <w:basedOn w:val="DefaultParagraphFont"/>
    <w:rsid w:val="00B35081"/>
  </w:style>
  <w:style w:type="paragraph" w:styleId="NormalWeb">
    <w:name w:val="Normal (Web)"/>
    <w:basedOn w:val="Normal"/>
    <w:uiPriority w:val="99"/>
    <w:unhideWhenUsed/>
    <w:rsid w:val="00B350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35081"/>
    <w:rPr>
      <w:i/>
      <w:iCs/>
    </w:rPr>
  </w:style>
  <w:style w:type="paragraph" w:styleId="BalloonText">
    <w:name w:val="Balloon Text"/>
    <w:basedOn w:val="Normal"/>
    <w:link w:val="BalloonTextChar"/>
    <w:uiPriority w:val="99"/>
    <w:semiHidden/>
    <w:unhideWhenUsed/>
    <w:rsid w:val="00B35081"/>
    <w:rPr>
      <w:rFonts w:ascii="Tahoma" w:hAnsi="Tahoma" w:cs="Tahoma"/>
      <w:sz w:val="16"/>
      <w:szCs w:val="16"/>
    </w:rPr>
  </w:style>
  <w:style w:type="character" w:customStyle="1" w:styleId="BalloonTextChar">
    <w:name w:val="Balloon Text Char"/>
    <w:basedOn w:val="DefaultParagraphFont"/>
    <w:link w:val="BalloonText"/>
    <w:uiPriority w:val="99"/>
    <w:semiHidden/>
    <w:rsid w:val="00B35081"/>
    <w:rPr>
      <w:rFonts w:ascii="Tahoma" w:hAnsi="Tahoma" w:cs="Tahoma"/>
      <w:sz w:val="16"/>
      <w:szCs w:val="16"/>
    </w:rPr>
  </w:style>
  <w:style w:type="paragraph" w:styleId="Header">
    <w:name w:val="header"/>
    <w:basedOn w:val="Normal"/>
    <w:link w:val="HeaderChar"/>
    <w:uiPriority w:val="99"/>
    <w:unhideWhenUsed/>
    <w:rsid w:val="00B35081"/>
    <w:pPr>
      <w:tabs>
        <w:tab w:val="center" w:pos="4680"/>
        <w:tab w:val="right" w:pos="9360"/>
      </w:tabs>
    </w:pPr>
  </w:style>
  <w:style w:type="character" w:customStyle="1" w:styleId="HeaderChar">
    <w:name w:val="Header Char"/>
    <w:basedOn w:val="DefaultParagraphFont"/>
    <w:link w:val="Header"/>
    <w:uiPriority w:val="99"/>
    <w:rsid w:val="00B35081"/>
  </w:style>
  <w:style w:type="paragraph" w:styleId="Footer">
    <w:name w:val="footer"/>
    <w:basedOn w:val="Normal"/>
    <w:link w:val="FooterChar"/>
    <w:uiPriority w:val="99"/>
    <w:semiHidden/>
    <w:unhideWhenUsed/>
    <w:rsid w:val="00B35081"/>
    <w:pPr>
      <w:tabs>
        <w:tab w:val="center" w:pos="4680"/>
        <w:tab w:val="right" w:pos="9360"/>
      </w:tabs>
    </w:pPr>
  </w:style>
  <w:style w:type="character" w:customStyle="1" w:styleId="FooterChar">
    <w:name w:val="Footer Char"/>
    <w:basedOn w:val="DefaultParagraphFont"/>
    <w:link w:val="Footer"/>
    <w:uiPriority w:val="99"/>
    <w:semiHidden/>
    <w:rsid w:val="00B35081"/>
  </w:style>
  <w:style w:type="paragraph" w:styleId="FootnoteText">
    <w:name w:val="footnote text"/>
    <w:basedOn w:val="Normal"/>
    <w:link w:val="FootnoteTextChar"/>
    <w:uiPriority w:val="99"/>
    <w:semiHidden/>
    <w:unhideWhenUsed/>
    <w:rsid w:val="00B35081"/>
    <w:rPr>
      <w:sz w:val="20"/>
      <w:szCs w:val="20"/>
    </w:rPr>
  </w:style>
  <w:style w:type="character" w:customStyle="1" w:styleId="FootnoteTextChar">
    <w:name w:val="Footnote Text Char"/>
    <w:basedOn w:val="DefaultParagraphFont"/>
    <w:link w:val="FootnoteText"/>
    <w:uiPriority w:val="99"/>
    <w:semiHidden/>
    <w:rsid w:val="00B35081"/>
    <w:rPr>
      <w:sz w:val="20"/>
      <w:szCs w:val="20"/>
    </w:rPr>
  </w:style>
  <w:style w:type="character" w:styleId="FootnoteReference">
    <w:name w:val="footnote reference"/>
    <w:basedOn w:val="DefaultParagraphFont"/>
    <w:uiPriority w:val="99"/>
    <w:semiHidden/>
    <w:unhideWhenUsed/>
    <w:rsid w:val="00B35081"/>
    <w:rPr>
      <w:vertAlign w:val="superscript"/>
    </w:rPr>
  </w:style>
  <w:style w:type="character" w:customStyle="1" w:styleId="Heading2Char">
    <w:name w:val="Heading 2 Char"/>
    <w:basedOn w:val="DefaultParagraphFont"/>
    <w:link w:val="Heading2"/>
    <w:uiPriority w:val="9"/>
    <w:semiHidden/>
    <w:rsid w:val="00C0044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044F"/>
    <w:rPr>
      <w:b/>
      <w:bCs/>
    </w:rPr>
  </w:style>
  <w:style w:type="character" w:styleId="FollowedHyperlink">
    <w:name w:val="FollowedHyperlink"/>
    <w:basedOn w:val="DefaultParagraphFont"/>
    <w:uiPriority w:val="99"/>
    <w:semiHidden/>
    <w:unhideWhenUsed/>
    <w:rsid w:val="001641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B"/>
  </w:style>
  <w:style w:type="paragraph" w:styleId="Heading2">
    <w:name w:val="heading 2"/>
    <w:basedOn w:val="Normal"/>
    <w:next w:val="Normal"/>
    <w:link w:val="Heading2Char"/>
    <w:uiPriority w:val="9"/>
    <w:semiHidden/>
    <w:unhideWhenUsed/>
    <w:qFormat/>
    <w:rsid w:val="00C00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35081"/>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42A0F"/>
    <w:pPr>
      <w:numPr>
        <w:numId w:val="1"/>
      </w:numPr>
    </w:pPr>
  </w:style>
  <w:style w:type="paragraph" w:styleId="ListParagraph">
    <w:name w:val="List Paragraph"/>
    <w:basedOn w:val="Normal"/>
    <w:uiPriority w:val="34"/>
    <w:qFormat/>
    <w:rsid w:val="00B35081"/>
    <w:pPr>
      <w:ind w:left="720"/>
      <w:contextualSpacing/>
    </w:pPr>
  </w:style>
  <w:style w:type="character" w:customStyle="1" w:styleId="Heading4Char">
    <w:name w:val="Heading 4 Char"/>
    <w:basedOn w:val="DefaultParagraphFont"/>
    <w:link w:val="Heading4"/>
    <w:uiPriority w:val="9"/>
    <w:rsid w:val="00B35081"/>
    <w:rPr>
      <w:rFonts w:ascii="Times New Roman" w:eastAsia="Times New Roman" w:hAnsi="Times New Roman"/>
      <w:b/>
      <w:bCs/>
    </w:rPr>
  </w:style>
  <w:style w:type="character" w:styleId="Hyperlink">
    <w:name w:val="Hyperlink"/>
    <w:basedOn w:val="DefaultParagraphFont"/>
    <w:unhideWhenUsed/>
    <w:rsid w:val="00B35081"/>
    <w:rPr>
      <w:color w:val="0000FF"/>
      <w:u w:val="single"/>
    </w:rPr>
  </w:style>
  <w:style w:type="character" w:customStyle="1" w:styleId="apple-converted-space">
    <w:name w:val="apple-converted-space"/>
    <w:basedOn w:val="DefaultParagraphFont"/>
    <w:rsid w:val="00B35081"/>
  </w:style>
  <w:style w:type="character" w:customStyle="1" w:styleId="small">
    <w:name w:val="small"/>
    <w:basedOn w:val="DefaultParagraphFont"/>
    <w:rsid w:val="00B35081"/>
  </w:style>
  <w:style w:type="paragraph" w:styleId="NormalWeb">
    <w:name w:val="Normal (Web)"/>
    <w:basedOn w:val="Normal"/>
    <w:uiPriority w:val="99"/>
    <w:unhideWhenUsed/>
    <w:rsid w:val="00B350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35081"/>
    <w:rPr>
      <w:i/>
      <w:iCs/>
    </w:rPr>
  </w:style>
  <w:style w:type="paragraph" w:styleId="BalloonText">
    <w:name w:val="Balloon Text"/>
    <w:basedOn w:val="Normal"/>
    <w:link w:val="BalloonTextChar"/>
    <w:uiPriority w:val="99"/>
    <w:semiHidden/>
    <w:unhideWhenUsed/>
    <w:rsid w:val="00B35081"/>
    <w:rPr>
      <w:rFonts w:ascii="Tahoma" w:hAnsi="Tahoma" w:cs="Tahoma"/>
      <w:sz w:val="16"/>
      <w:szCs w:val="16"/>
    </w:rPr>
  </w:style>
  <w:style w:type="character" w:customStyle="1" w:styleId="BalloonTextChar">
    <w:name w:val="Balloon Text Char"/>
    <w:basedOn w:val="DefaultParagraphFont"/>
    <w:link w:val="BalloonText"/>
    <w:uiPriority w:val="99"/>
    <w:semiHidden/>
    <w:rsid w:val="00B35081"/>
    <w:rPr>
      <w:rFonts w:ascii="Tahoma" w:hAnsi="Tahoma" w:cs="Tahoma"/>
      <w:sz w:val="16"/>
      <w:szCs w:val="16"/>
    </w:rPr>
  </w:style>
  <w:style w:type="paragraph" w:styleId="Header">
    <w:name w:val="header"/>
    <w:basedOn w:val="Normal"/>
    <w:link w:val="HeaderChar"/>
    <w:uiPriority w:val="99"/>
    <w:unhideWhenUsed/>
    <w:rsid w:val="00B35081"/>
    <w:pPr>
      <w:tabs>
        <w:tab w:val="center" w:pos="4680"/>
        <w:tab w:val="right" w:pos="9360"/>
      </w:tabs>
    </w:pPr>
  </w:style>
  <w:style w:type="character" w:customStyle="1" w:styleId="HeaderChar">
    <w:name w:val="Header Char"/>
    <w:basedOn w:val="DefaultParagraphFont"/>
    <w:link w:val="Header"/>
    <w:uiPriority w:val="99"/>
    <w:rsid w:val="00B35081"/>
  </w:style>
  <w:style w:type="paragraph" w:styleId="Footer">
    <w:name w:val="footer"/>
    <w:basedOn w:val="Normal"/>
    <w:link w:val="FooterChar"/>
    <w:uiPriority w:val="99"/>
    <w:semiHidden/>
    <w:unhideWhenUsed/>
    <w:rsid w:val="00B35081"/>
    <w:pPr>
      <w:tabs>
        <w:tab w:val="center" w:pos="4680"/>
        <w:tab w:val="right" w:pos="9360"/>
      </w:tabs>
    </w:pPr>
  </w:style>
  <w:style w:type="character" w:customStyle="1" w:styleId="FooterChar">
    <w:name w:val="Footer Char"/>
    <w:basedOn w:val="DefaultParagraphFont"/>
    <w:link w:val="Footer"/>
    <w:uiPriority w:val="99"/>
    <w:semiHidden/>
    <w:rsid w:val="00B35081"/>
  </w:style>
  <w:style w:type="paragraph" w:styleId="FootnoteText">
    <w:name w:val="footnote text"/>
    <w:basedOn w:val="Normal"/>
    <w:link w:val="FootnoteTextChar"/>
    <w:uiPriority w:val="99"/>
    <w:semiHidden/>
    <w:unhideWhenUsed/>
    <w:rsid w:val="00B35081"/>
    <w:rPr>
      <w:sz w:val="20"/>
      <w:szCs w:val="20"/>
    </w:rPr>
  </w:style>
  <w:style w:type="character" w:customStyle="1" w:styleId="FootnoteTextChar">
    <w:name w:val="Footnote Text Char"/>
    <w:basedOn w:val="DefaultParagraphFont"/>
    <w:link w:val="FootnoteText"/>
    <w:uiPriority w:val="99"/>
    <w:semiHidden/>
    <w:rsid w:val="00B35081"/>
    <w:rPr>
      <w:sz w:val="20"/>
      <w:szCs w:val="20"/>
    </w:rPr>
  </w:style>
  <w:style w:type="character" w:styleId="FootnoteReference">
    <w:name w:val="footnote reference"/>
    <w:basedOn w:val="DefaultParagraphFont"/>
    <w:uiPriority w:val="99"/>
    <w:semiHidden/>
    <w:unhideWhenUsed/>
    <w:rsid w:val="00B35081"/>
    <w:rPr>
      <w:vertAlign w:val="superscript"/>
    </w:rPr>
  </w:style>
  <w:style w:type="character" w:customStyle="1" w:styleId="Heading2Char">
    <w:name w:val="Heading 2 Char"/>
    <w:basedOn w:val="DefaultParagraphFont"/>
    <w:link w:val="Heading2"/>
    <w:uiPriority w:val="9"/>
    <w:semiHidden/>
    <w:rsid w:val="00C0044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044F"/>
    <w:rPr>
      <w:b/>
      <w:bCs/>
    </w:rPr>
  </w:style>
  <w:style w:type="character" w:styleId="FollowedHyperlink">
    <w:name w:val="FollowedHyperlink"/>
    <w:basedOn w:val="DefaultParagraphFont"/>
    <w:uiPriority w:val="99"/>
    <w:semiHidden/>
    <w:unhideWhenUsed/>
    <w:rsid w:val="0016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8183">
      <w:bodyDiv w:val="1"/>
      <w:marLeft w:val="0"/>
      <w:marRight w:val="0"/>
      <w:marTop w:val="0"/>
      <w:marBottom w:val="0"/>
      <w:divBdr>
        <w:top w:val="none" w:sz="0" w:space="0" w:color="auto"/>
        <w:left w:val="none" w:sz="0" w:space="0" w:color="auto"/>
        <w:bottom w:val="none" w:sz="0" w:space="0" w:color="auto"/>
        <w:right w:val="none" w:sz="0" w:space="0" w:color="auto"/>
      </w:divBdr>
    </w:div>
    <w:div w:id="439419690">
      <w:bodyDiv w:val="1"/>
      <w:marLeft w:val="0"/>
      <w:marRight w:val="0"/>
      <w:marTop w:val="0"/>
      <w:marBottom w:val="0"/>
      <w:divBdr>
        <w:top w:val="none" w:sz="0" w:space="0" w:color="auto"/>
        <w:left w:val="none" w:sz="0" w:space="0" w:color="auto"/>
        <w:bottom w:val="none" w:sz="0" w:space="0" w:color="auto"/>
        <w:right w:val="none" w:sz="0" w:space="0" w:color="auto"/>
      </w:divBdr>
    </w:div>
    <w:div w:id="694769476">
      <w:bodyDiv w:val="1"/>
      <w:marLeft w:val="0"/>
      <w:marRight w:val="0"/>
      <w:marTop w:val="0"/>
      <w:marBottom w:val="0"/>
      <w:divBdr>
        <w:top w:val="none" w:sz="0" w:space="0" w:color="auto"/>
        <w:left w:val="none" w:sz="0" w:space="0" w:color="auto"/>
        <w:bottom w:val="none" w:sz="0" w:space="0" w:color="auto"/>
        <w:right w:val="none" w:sz="0" w:space="0" w:color="auto"/>
      </w:divBdr>
    </w:div>
    <w:div w:id="817574659">
      <w:bodyDiv w:val="1"/>
      <w:marLeft w:val="0"/>
      <w:marRight w:val="0"/>
      <w:marTop w:val="0"/>
      <w:marBottom w:val="0"/>
      <w:divBdr>
        <w:top w:val="none" w:sz="0" w:space="0" w:color="auto"/>
        <w:left w:val="none" w:sz="0" w:space="0" w:color="auto"/>
        <w:bottom w:val="none" w:sz="0" w:space="0" w:color="auto"/>
        <w:right w:val="none" w:sz="0" w:space="0" w:color="auto"/>
      </w:divBdr>
    </w:div>
    <w:div w:id="1783301502">
      <w:bodyDiv w:val="1"/>
      <w:marLeft w:val="0"/>
      <w:marRight w:val="0"/>
      <w:marTop w:val="0"/>
      <w:marBottom w:val="0"/>
      <w:divBdr>
        <w:top w:val="none" w:sz="0" w:space="0" w:color="auto"/>
        <w:left w:val="none" w:sz="0" w:space="0" w:color="auto"/>
        <w:bottom w:val="none" w:sz="0" w:space="0" w:color="auto"/>
        <w:right w:val="none" w:sz="0" w:space="0" w:color="auto"/>
      </w:divBdr>
    </w:div>
    <w:div w:id="1804107345">
      <w:bodyDiv w:val="1"/>
      <w:marLeft w:val="0"/>
      <w:marRight w:val="0"/>
      <w:marTop w:val="0"/>
      <w:marBottom w:val="0"/>
      <w:divBdr>
        <w:top w:val="none" w:sz="0" w:space="0" w:color="auto"/>
        <w:left w:val="none" w:sz="0" w:space="0" w:color="auto"/>
        <w:bottom w:val="none" w:sz="0" w:space="0" w:color="auto"/>
        <w:right w:val="none" w:sz="0" w:space="0" w:color="auto"/>
      </w:divBdr>
      <w:divsChild>
        <w:div w:id="1130127846">
          <w:marLeft w:val="0"/>
          <w:marRight w:val="0"/>
          <w:marTop w:val="0"/>
          <w:marBottom w:val="0"/>
          <w:divBdr>
            <w:top w:val="none" w:sz="0" w:space="0" w:color="auto"/>
            <w:left w:val="none" w:sz="0" w:space="0" w:color="auto"/>
            <w:bottom w:val="none" w:sz="0" w:space="0" w:color="auto"/>
            <w:right w:val="none" w:sz="0" w:space="0" w:color="auto"/>
          </w:divBdr>
        </w:div>
        <w:div w:id="1214803642">
          <w:marLeft w:val="0"/>
          <w:marRight w:val="0"/>
          <w:marTop w:val="0"/>
          <w:marBottom w:val="0"/>
          <w:divBdr>
            <w:top w:val="none" w:sz="0" w:space="0" w:color="auto"/>
            <w:left w:val="none" w:sz="0" w:space="0" w:color="auto"/>
            <w:bottom w:val="none" w:sz="0" w:space="0" w:color="auto"/>
            <w:right w:val="none" w:sz="0" w:space="0" w:color="auto"/>
          </w:divBdr>
        </w:div>
        <w:div w:id="71586791">
          <w:marLeft w:val="0"/>
          <w:marRight w:val="0"/>
          <w:marTop w:val="0"/>
          <w:marBottom w:val="0"/>
          <w:divBdr>
            <w:top w:val="none" w:sz="0" w:space="0" w:color="auto"/>
            <w:left w:val="none" w:sz="0" w:space="0" w:color="auto"/>
            <w:bottom w:val="none" w:sz="0" w:space="0" w:color="auto"/>
            <w:right w:val="none" w:sz="0" w:space="0" w:color="auto"/>
          </w:divBdr>
        </w:div>
      </w:divsChild>
    </w:div>
    <w:div w:id="1820422801">
      <w:bodyDiv w:val="1"/>
      <w:marLeft w:val="0"/>
      <w:marRight w:val="0"/>
      <w:marTop w:val="0"/>
      <w:marBottom w:val="0"/>
      <w:divBdr>
        <w:top w:val="none" w:sz="0" w:space="0" w:color="auto"/>
        <w:left w:val="none" w:sz="0" w:space="0" w:color="auto"/>
        <w:bottom w:val="none" w:sz="0" w:space="0" w:color="auto"/>
        <w:right w:val="none" w:sz="0" w:space="0" w:color="auto"/>
      </w:divBdr>
    </w:div>
    <w:div w:id="20579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c.carleton.edu/resources/37486.html" TargetMode="External"/><Relationship Id="rId18" Type="http://schemas.openxmlformats.org/officeDocument/2006/relationships/hyperlink" Target="http://serc.carleton.edu/resources/37490.html" TargetMode="External"/><Relationship Id="rId26" Type="http://schemas.openxmlformats.org/officeDocument/2006/relationships/hyperlink" Target="https://blogs.commons.georgetown.edu/bassr/social-pedagogies/" TargetMode="External"/><Relationship Id="rId3" Type="http://schemas.openxmlformats.org/officeDocument/2006/relationships/styles" Target="styles.xml"/><Relationship Id="rId21" Type="http://schemas.openxmlformats.org/officeDocument/2006/relationships/hyperlink" Target="http://serc.carleton.edu/resources/37486.html" TargetMode="External"/><Relationship Id="rId7" Type="http://schemas.openxmlformats.org/officeDocument/2006/relationships/footnotes" Target="footnotes.xml"/><Relationship Id="rId12" Type="http://schemas.openxmlformats.org/officeDocument/2006/relationships/hyperlink" Target="http://projects.coe.uga.edu/epltt/index.php?title=Six_C%27s_of_motivation" TargetMode="External"/><Relationship Id="rId17" Type="http://schemas.openxmlformats.org/officeDocument/2006/relationships/hyperlink" Target="http://serc.carleton.edu/resources/37489.html" TargetMode="External"/><Relationship Id="rId25" Type="http://schemas.openxmlformats.org/officeDocument/2006/relationships/hyperlink" Target="http://derekbruff.com/site/blog/category/student-motivation/" TargetMode="External"/><Relationship Id="rId2" Type="http://schemas.openxmlformats.org/officeDocument/2006/relationships/numbering" Target="numbering.xml"/><Relationship Id="rId16" Type="http://schemas.openxmlformats.org/officeDocument/2006/relationships/hyperlink" Target="http://serc.carleton.edu/resources/37486.html" TargetMode="External"/><Relationship Id="rId20" Type="http://schemas.openxmlformats.org/officeDocument/2006/relationships/hyperlink" Target="http://serc.carleton.edu/resources/3749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a.confex.com/gsa/2002AM/finalprogram/abstract_36173.htm" TargetMode="External"/><Relationship Id="rId24" Type="http://schemas.openxmlformats.org/officeDocument/2006/relationships/hyperlink" Target="http://serc.carleton.edu/NAGTWorkshops/affective/motivation.html" TargetMode="External"/><Relationship Id="rId5" Type="http://schemas.openxmlformats.org/officeDocument/2006/relationships/settings" Target="settings.xml"/><Relationship Id="rId15" Type="http://schemas.openxmlformats.org/officeDocument/2006/relationships/hyperlink" Target="http://serc.carleton.edu/resources/37491.html" TargetMode="External"/><Relationship Id="rId23" Type="http://schemas.openxmlformats.org/officeDocument/2006/relationships/hyperlink" Target="http://teaching.berkeley.edu/bgd/motivate.html" TargetMode="External"/><Relationship Id="rId28" Type="http://schemas.openxmlformats.org/officeDocument/2006/relationships/header" Target="header1.xml"/><Relationship Id="rId10" Type="http://schemas.openxmlformats.org/officeDocument/2006/relationships/hyperlink" Target="http://serc.carleton.edu/resources/37494.html" TargetMode="External"/><Relationship Id="rId19" Type="http://schemas.openxmlformats.org/officeDocument/2006/relationships/hyperlink" Target="http://serc.carleton.edu/resources/37494.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c.carleton.edu/resources/37504.html" TargetMode="External"/><Relationship Id="rId14" Type="http://schemas.openxmlformats.org/officeDocument/2006/relationships/hyperlink" Target="http://serc.carleton.edu/resources/37492.html" TargetMode="External"/><Relationship Id="rId22" Type="http://schemas.openxmlformats.org/officeDocument/2006/relationships/hyperlink" Target="http://cft.vanderbilt.edu/teaching-guides/interactions/motivating-students/" TargetMode="External"/><Relationship Id="rId27" Type="http://schemas.openxmlformats.org/officeDocument/2006/relationships/hyperlink" Target="http://cft.vanderbilt.edu/teaching-guides/teaching-through-community-engageme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blogs.commons.georgetown.edu/bassr/social-pedagogies/" TargetMode="External"/><Relationship Id="rId1" Type="http://schemas.openxmlformats.org/officeDocument/2006/relationships/hyperlink" Target="http://serc.carleton.edu/NAGTWorkshops/affective/moti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8A8A-DDEE-4751-9271-92E6A1BD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McMurtry, Megan Maureen</cp:lastModifiedBy>
  <cp:revision>4</cp:revision>
  <cp:lastPrinted>2012-01-20T19:28:00Z</cp:lastPrinted>
  <dcterms:created xsi:type="dcterms:W3CDTF">2012-01-20T19:29:00Z</dcterms:created>
  <dcterms:modified xsi:type="dcterms:W3CDTF">2012-01-20T20:27:00Z</dcterms:modified>
</cp:coreProperties>
</file>